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131A" w14:textId="77777777" w:rsidR="006F625C" w:rsidRPr="00580D8B" w:rsidRDefault="006F625C" w:rsidP="0064525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24A58840" w14:textId="4CDA4422" w:rsidR="006F625C" w:rsidRPr="00580D8B" w:rsidRDefault="006F625C" w:rsidP="006F625C">
      <w:pPr>
        <w:spacing w:after="240"/>
        <w:ind w:left="360"/>
        <w:rPr>
          <w:rFonts w:ascii="Arial" w:hAnsi="Arial" w:cs="Arial"/>
          <w:b/>
          <w:i/>
          <w:color w:val="4F81BD" w:themeColor="accent1"/>
          <w:sz w:val="32"/>
          <w:szCs w:val="32"/>
        </w:rPr>
      </w:pPr>
      <w:r w:rsidRPr="00580D8B">
        <w:rPr>
          <w:rFonts w:ascii="Arial" w:hAnsi="Arial" w:cs="Arial"/>
          <w:b/>
          <w:i/>
          <w:color w:val="4F81BD" w:themeColor="accent1"/>
          <w:sz w:val="32"/>
          <w:szCs w:val="32"/>
        </w:rPr>
        <w:t>Publications (July 1, 2019 – June 30, 2020)</w:t>
      </w:r>
    </w:p>
    <w:p w14:paraId="792B97F3" w14:textId="3E491138" w:rsidR="006F625C" w:rsidRPr="00580D8B" w:rsidRDefault="006F625C" w:rsidP="00580D8B">
      <w:pPr>
        <w:spacing w:after="240"/>
        <w:ind w:left="360"/>
        <w:rPr>
          <w:rFonts w:ascii="Arial" w:hAnsi="Arial" w:cs="Arial"/>
          <w:b/>
          <w:sz w:val="24"/>
          <w:szCs w:val="24"/>
        </w:rPr>
      </w:pPr>
      <w:r w:rsidRPr="00580D8B">
        <w:rPr>
          <w:rFonts w:ascii="Arial" w:hAnsi="Arial" w:cs="Arial"/>
          <w:b/>
          <w:sz w:val="24"/>
          <w:szCs w:val="24"/>
        </w:rPr>
        <w:t>Refereed Publications</w:t>
      </w:r>
    </w:p>
    <w:p w14:paraId="55D37E76" w14:textId="77777777" w:rsidR="00375ED2" w:rsidRPr="00580D8B" w:rsidRDefault="00375ED2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Alexandridis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A.A., Dasgupta, N.,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McCort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A.D.,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Ringwalt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C.L., Rosamond, W.D.,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Chelminski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P.R., &amp; Marshall, S.W. (2019). Associations between implementation of Project Lazarus and opioid analgesic dispensing and buprenorphine utilization in North Carolina, 2009–2014.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Injury Epidemiology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6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(1), 2.</w:t>
      </w:r>
    </w:p>
    <w:p w14:paraId="2DA74950" w14:textId="77777777" w:rsidR="00375ED2" w:rsidRPr="00580D8B" w:rsidRDefault="00375ED2" w:rsidP="005B67F5">
      <w:pPr>
        <w:pStyle w:val="ListParagraph"/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05B450BE" w14:textId="27E4E937" w:rsidR="00375ED2" w:rsidRPr="00580D8B" w:rsidRDefault="00375ED2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Alexandridis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A.A., Dasgupta, N.,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Ringwalt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C.L., Rosamond, W.D.,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Chelminski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P.R., &amp; Marshall, S.W. (2020). Association between opioid analgesic therapy and initiation of buprenorphine management: An analysis of prescription drug monitoring program data. </w:t>
      </w:r>
      <w:proofErr w:type="spellStart"/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Plos</w:t>
      </w:r>
      <w:proofErr w:type="spellEnd"/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 xml:space="preserve"> One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15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(1), e0227350.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24B10F13" w14:textId="24D51A3D" w:rsidR="001D24FA" w:rsidRPr="00580D8B" w:rsidRDefault="001D24FA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Alsalaheen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B.,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Landel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R., Hun</w:t>
      </w:r>
      <w:r w:rsidR="00945DB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ter-Giordano, A., Shimamura, K.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K.,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Quatman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-Yates,</w:t>
      </w:r>
      <w:r w:rsidR="00945DB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C., Hanke, T., &amp; McCulloch, K.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L. (2019). A treatment-based profiling model for physical therapy management of patients following a concussive event. </w:t>
      </w:r>
      <w:r w:rsidR="00945DB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 xml:space="preserve">Journal of </w:t>
      </w:r>
      <w:proofErr w:type="spellStart"/>
      <w:r w:rsidR="00945DB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O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rthopaedic</w:t>
      </w:r>
      <w:proofErr w:type="spellEnd"/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 xml:space="preserve"> &amp;</w:t>
      </w:r>
      <w:r w:rsidR="00945DB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 xml:space="preserve"> Sports Physical T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herapy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49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(11), 829-841.</w:t>
      </w:r>
    </w:p>
    <w:p w14:paraId="36F9EECF" w14:textId="77777777" w:rsidR="00FA49D3" w:rsidRPr="00580D8B" w:rsidRDefault="00FA49D3" w:rsidP="005B67F5">
      <w:pPr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58E851ED" w14:textId="3216302B" w:rsidR="007D03A7" w:rsidRPr="00580D8B" w:rsidRDefault="00FA49D3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Bafuma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P.,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Bludorn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J.,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Baeten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R., Fuller, F., Monti, J., &amp; No</w:t>
      </w:r>
      <w:r w:rsidR="00945DB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rman, F. (2020). Inspiring the future of Physician Assistant ultrasound education: Lessons learned from the inaugural Yes, </w:t>
      </w:r>
      <w:proofErr w:type="spellStart"/>
      <w:r w:rsidR="00945DB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iScan</w:t>
      </w:r>
      <w:proofErr w:type="spellEnd"/>
      <w:r w:rsidR="00945DB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e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vent.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The Journal of Physician Assistant Education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31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(1), 28-32.</w:t>
      </w:r>
    </w:p>
    <w:p w14:paraId="69B41725" w14:textId="77777777" w:rsidR="007D03A7" w:rsidRPr="00580D8B" w:rsidRDefault="007D03A7" w:rsidP="005B67F5">
      <w:pPr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  <w:lang w:bidi="ar-SA"/>
        </w:rPr>
      </w:pPr>
    </w:p>
    <w:p w14:paraId="7C859CB5" w14:textId="4F13027D" w:rsidR="00552402" w:rsidRPr="00580D8B" w:rsidRDefault="00945DBA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Bailliard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A.L.,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Dallman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A.R., Carroll, A., Lee, B.</w:t>
      </w:r>
      <w:r w:rsidR="007E63CD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D.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&amp;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Szendrey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S. (2020). Doing occupational j</w:t>
      </w:r>
      <w:r w:rsidR="007E63CD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ustice: A central dimension of everyday Occupational Therapy practice. </w:t>
      </w:r>
      <w:r w:rsidR="007E63CD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Canadian Journal of Occupational Therapy</w:t>
      </w:r>
      <w:r w:rsidR="007E63CD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7E63CD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87</w:t>
      </w:r>
      <w:r w:rsidR="007E63CD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(2), 144-152.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6D697226" w14:textId="719BFE5D" w:rsidR="00050785" w:rsidRPr="00580D8B" w:rsidRDefault="00945DBA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Bailie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J.M.,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Remigio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-Baker, R.A., Cole, W.R., McCulloch, K.L.,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Ettenhofer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M.</w:t>
      </w:r>
      <w:r w:rsidR="00AE0F8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L., West, T., ... &amp; Mullins, L. (2019). Use of the Progressive Return to Activity guidelines may expedite symptom resolution after concussion for active duty military. </w:t>
      </w:r>
      <w:r w:rsidR="00AE0F8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The American Journal of Sports Medicine</w:t>
      </w:r>
      <w:r w:rsidR="00AE0F8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AE0F8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47</w:t>
      </w:r>
      <w:r w:rsidR="00AE0F8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(14), 3505-3513.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44DCBEED" w14:textId="1F139F6B" w:rsidR="00697948" w:rsidRDefault="00697948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proofErr w:type="spellStart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Bangma</w:t>
      </w:r>
      <w:proofErr w:type="spellEnd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J. T., Kwiatkowski, E., </w:t>
      </w:r>
      <w:proofErr w:type="spellStart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Psioda</w:t>
      </w:r>
      <w:proofErr w:type="spellEnd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M., Santos, H. P., Hooper, S. R., Douglass, L., ... &amp; Fry, R. C. (2019). Understanding positive child health. </w:t>
      </w:r>
      <w:r w:rsidRPr="0069794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Pediatric Research</w:t>
      </w:r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69794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86</w:t>
      </w:r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(6), 690-691.</w:t>
      </w:r>
      <w:r w:rsid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56EA52D1" w14:textId="40F8AD0D" w:rsidR="00553D15" w:rsidRPr="00553D15" w:rsidRDefault="00553D15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proofErr w:type="spellStart"/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Bangma</w:t>
      </w:r>
      <w:proofErr w:type="spellEnd"/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J. T., Kwiatkowski, E., </w:t>
      </w:r>
      <w:proofErr w:type="spellStart"/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Psioda</w:t>
      </w:r>
      <w:proofErr w:type="spellEnd"/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M., Santos Jr, H. P., Hooper, S. R., Douglass, L., ... &amp; Fry, R. C. (2019). Early life antecedents of positive child health among 10-year-old children born extremely preterm. </w:t>
      </w:r>
      <w:r w:rsidRPr="00553D15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Pediatric research</w:t>
      </w:r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53D15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86</w:t>
      </w:r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(6), 758-765.</w:t>
      </w:r>
    </w:p>
    <w:p w14:paraId="794BB7CB" w14:textId="77777777" w:rsidR="00697948" w:rsidRPr="00697948" w:rsidRDefault="00697948" w:rsidP="00697948">
      <w:pPr>
        <w:pStyle w:val="ListParagraph"/>
        <w:tabs>
          <w:tab w:val="left" w:pos="990"/>
        </w:tabs>
        <w:ind w:left="90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01394B86" w14:textId="3BA0D8D4" w:rsidR="00656383" w:rsidRPr="00580D8B" w:rsidRDefault="00945DBA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Bogenschutz, M.D.,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Dinora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P.A., &amp; Johnson, K.R. (2019). Case management workforce supporting people with intellectual and developmental disabilities: Indications of a n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ew 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frontier of the workforce c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risis.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Intellectual and Developmental D</w:t>
      </w:r>
      <w:r w:rsidR="00026DE0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isabilities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026DE0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57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(6), 499-511.</w:t>
      </w:r>
    </w:p>
    <w:p w14:paraId="0917F174" w14:textId="77777777" w:rsidR="00656383" w:rsidRPr="00580D8B" w:rsidRDefault="00656383" w:rsidP="005B67F5">
      <w:pPr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  <w:lang w:bidi="ar-SA"/>
        </w:rPr>
      </w:pPr>
    </w:p>
    <w:p w14:paraId="0A8EF8A8" w14:textId="4B9C77B2" w:rsidR="00656383" w:rsidRPr="00580D8B" w:rsidRDefault="00AE0F8A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Brandt, A., Riddick, W.,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Stallr</w:t>
      </w:r>
      <w:r w:rsidR="00945DB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ich</w:t>
      </w:r>
      <w:proofErr w:type="spellEnd"/>
      <w:r w:rsidR="00945DB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J., </w:t>
      </w:r>
      <w:proofErr w:type="spellStart"/>
      <w:r w:rsidR="00945DB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Lewek</w:t>
      </w:r>
      <w:proofErr w:type="spellEnd"/>
      <w:r w:rsidR="00945DB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M., &amp; Huang, H.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H. (2019). Effects of extended powered knee prosthesis stance time via visual feedback on gait symmetry of individua</w:t>
      </w:r>
      <w:r w:rsidR="00945DB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ls with unilateral amputation: A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preliminary study. </w:t>
      </w:r>
      <w:r w:rsidR="00945DB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 xml:space="preserve">Journal of </w:t>
      </w:r>
      <w:proofErr w:type="spellStart"/>
      <w:r w:rsidR="00945DB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Neuroengineering</w:t>
      </w:r>
      <w:proofErr w:type="spellEnd"/>
      <w:r w:rsidR="00945DB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 xml:space="preserve"> and R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ehabilitation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16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(1), 112.</w:t>
      </w:r>
    </w:p>
    <w:p w14:paraId="1006DF70" w14:textId="77777777" w:rsidR="00656383" w:rsidRPr="00580D8B" w:rsidRDefault="00656383" w:rsidP="00724C4E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14:paraId="663EF269" w14:textId="0221A8B4" w:rsidR="0093052D" w:rsidRPr="0093052D" w:rsidRDefault="0093052D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Carlson, J., Gerson, A. C., Matheson, M. B., Manne, S., </w:t>
      </w:r>
      <w:proofErr w:type="spellStart"/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Warady</w:t>
      </w:r>
      <w:proofErr w:type="spellEnd"/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B. A., Hooper, S. R., ... &amp; </w:t>
      </w:r>
      <w:proofErr w:type="spellStart"/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Kogon</w:t>
      </w:r>
      <w:proofErr w:type="spellEnd"/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A. J. (2020). A longitudinal analysis of the effect of anemia on health-related quality of life in children with mild-to-moderate chronic kidney disease. </w:t>
      </w:r>
      <w:r w:rsidRPr="0093052D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Pediatric Nephrology</w:t>
      </w:r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1-9.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0A238737" w14:textId="5B16C841" w:rsidR="00AF70C4" w:rsidRPr="00580D8B" w:rsidRDefault="00945DBA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Cassidy, J.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M., Wodeyar, A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., Wu, J., Kaur, K., Masuda, A.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., Srinivasan, R., &amp; Cramer, S.C. (2020). Low-frequency oscillations are a biomarker of injury and recovery after s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troke. </w:t>
      </w:r>
      <w:r w:rsidR="00AF70C4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Stroke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AF70C4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51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(5), 1442-1450.</w:t>
      </w:r>
    </w:p>
    <w:p w14:paraId="1006EEAC" w14:textId="77777777" w:rsidR="00AF70C4" w:rsidRPr="00580D8B" w:rsidRDefault="00AF70C4" w:rsidP="005B67F5">
      <w:pPr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5D814834" w14:textId="1DF5C52C" w:rsidR="00656383" w:rsidRPr="00580D8B" w:rsidRDefault="00945DBA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Cassidy, J.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M. (2019). Critically appraised paper: Unilateral neglect impairs functional recovery but evidence for upper limb interventions in patients with neglect is lacking [commentary].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Journal of P</w:t>
      </w:r>
      <w:r w:rsidR="00AF70C4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hysiotherapy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AF70C4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65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(4), 237.</w:t>
      </w:r>
    </w:p>
    <w:p w14:paraId="1BA63A30" w14:textId="77777777" w:rsidR="00656383" w:rsidRPr="00580D8B" w:rsidRDefault="00656383" w:rsidP="005B67F5">
      <w:pPr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  <w:lang w:bidi="ar-SA"/>
        </w:rPr>
      </w:pPr>
    </w:p>
    <w:p w14:paraId="49207FAA" w14:textId="371B06C6" w:rsidR="00375ED2" w:rsidRPr="00724C4E" w:rsidRDefault="009945C6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Cavanaugh, R., &amp; Haley, K.</w:t>
      </w:r>
      <w:r w:rsidR="00AE0F8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L. (2020). Subjective communication difficulties in very mild aphasia.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American Journal of Speech-Language P</w:t>
      </w:r>
      <w:r w:rsidR="00AE0F8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athology</w:t>
      </w:r>
      <w:r w:rsidR="00AE0F8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AE0F8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29</w:t>
      </w:r>
      <w:r w:rsidR="00AE0F8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(1S), 437-448.</w:t>
      </w:r>
      <w:r w:rsidR="00375ED2" w:rsidRPr="00724C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7A202A21" w14:textId="3061EF89" w:rsidR="00656383" w:rsidRPr="00580D8B" w:rsidRDefault="007E03BE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Christiansen, </w:t>
      </w:r>
      <w:r w:rsidR="00FF59C2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FF59C2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B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Thoma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FF59C2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L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FF59C2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Master, </w:t>
      </w:r>
      <w:r w:rsidR="00FF59C2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Voinier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FF59C2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White, </w:t>
      </w:r>
      <w:r w:rsidR="00FF59C2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FF59C2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K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 The association of an increasing waist circumference and risk of incident low physical function in adults with knee o</w:t>
      </w:r>
      <w:r w:rsidR="00FF59C2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steoarthritis. </w:t>
      </w:r>
      <w:r w:rsidR="00FF59C2" w:rsidRPr="00580D8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bidi="ar-SA"/>
        </w:rPr>
        <w:t>Journal of Rheumatology</w:t>
      </w:r>
      <w:r w:rsidR="00FF59C2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 Published ahead of print March 2020. https://doi.org/10.3899/jrheum.190876 </w:t>
      </w:r>
      <w:r w:rsidR="00D145AF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br/>
      </w:r>
    </w:p>
    <w:p w14:paraId="3AE202B1" w14:textId="453DB6D5" w:rsidR="00DD5778" w:rsidRPr="00580D8B" w:rsidRDefault="007E03BE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Christiansen, M.B.,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Thoma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L.</w:t>
      </w:r>
      <w:r w:rsidR="00C27AE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M., Maste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r, H.,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Voinier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D., Schmitt, L.A., Ziegler, M.L., ... &amp; White, D.K. (2020). Feasibility and preliminary outcomes of a physical therapist–a</w:t>
      </w:r>
      <w:r w:rsidR="00C27AE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dministered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physical activity intervention after total knee r</w:t>
      </w:r>
      <w:r w:rsidR="00C27AE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eplacement.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Arthritis Care &amp; R</w:t>
      </w:r>
      <w:r w:rsidR="00C27AE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esearch</w:t>
      </w:r>
      <w:r w:rsidR="00C27AE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C27AEA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72</w:t>
      </w:r>
      <w:r w:rsidR="00C27AEA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(5), 661-668.</w:t>
      </w:r>
    </w:p>
    <w:p w14:paraId="6420992C" w14:textId="77777777" w:rsidR="00DD5778" w:rsidRPr="00580D8B" w:rsidRDefault="00DD5778" w:rsidP="005B67F5">
      <w:pPr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color w:val="222222"/>
          <w:sz w:val="24"/>
          <w:szCs w:val="24"/>
          <w:highlight w:val="yellow"/>
          <w:shd w:val="clear" w:color="auto" w:fill="FFFFFF"/>
          <w:lang w:bidi="ar-SA"/>
        </w:rPr>
      </w:pPr>
    </w:p>
    <w:p w14:paraId="6620B5D6" w14:textId="77777777" w:rsidR="003E41B3" w:rsidRPr="003E41B3" w:rsidRDefault="003E41B3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proofErr w:type="spellStart"/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Cleynen</w:t>
      </w:r>
      <w:proofErr w:type="spellEnd"/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I., </w:t>
      </w:r>
      <w:proofErr w:type="spellStart"/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Engchuan</w:t>
      </w:r>
      <w:proofErr w:type="spellEnd"/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W., </w:t>
      </w:r>
      <w:proofErr w:type="spellStart"/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Hestand</w:t>
      </w:r>
      <w:proofErr w:type="spellEnd"/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M. S., Heung, T., Holleman, A. M., Johnston, H. R., ... &amp; </w:t>
      </w:r>
      <w:proofErr w:type="spellStart"/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Swillen</w:t>
      </w:r>
      <w:proofErr w:type="spellEnd"/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A. (2020). Genetic contributors to risk of schizophrenia in the presence of a 22q11. 2 deletion. </w:t>
      </w:r>
      <w:r w:rsidRPr="003E41B3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Molecular Psychiatry</w:t>
      </w:r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1-15.</w:t>
      </w:r>
    </w:p>
    <w:p w14:paraId="3E1DF1C1" w14:textId="77777777" w:rsidR="003E41B3" w:rsidRPr="003E41B3" w:rsidRDefault="003E41B3" w:rsidP="003E41B3">
      <w:pPr>
        <w:pStyle w:val="ListParagraph"/>
        <w:tabs>
          <w:tab w:val="left" w:pos="990"/>
        </w:tabs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684ECCD1" w14:textId="06607966" w:rsidR="00DD5778" w:rsidRPr="00580D8B" w:rsidRDefault="007E03BE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Crais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E.,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McComish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C.S.,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Kertcher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E.</w:t>
      </w:r>
      <w:r w:rsidR="00DD577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F., Hooper, S., Pretzel, R., Mendez, L., &amp; Villalobos, M. (2</w:t>
      </w:r>
      <w:r w:rsidR="00A10195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020). Autism Spectrum Disorder identification, diagnosis, and navigation of services: Learning from the v</w:t>
      </w:r>
      <w:r w:rsidR="00DD577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oices of</w:t>
      </w:r>
      <w:r w:rsidR="00A10195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c</w:t>
      </w:r>
      <w:r w:rsidR="00DD577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aregivers. </w:t>
      </w:r>
      <w:r w:rsidR="00DD5778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Focus on Autism and Other Developmental Disabilities</w:t>
      </w:r>
      <w:r w:rsidR="00DD577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1088357620922165.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76FB8A94" w14:textId="1ABDF096" w:rsidR="005C2C2D" w:rsidRPr="00724C4E" w:rsidRDefault="00A10195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Crais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E., &amp; Savage, M.</w:t>
      </w:r>
      <w:r w:rsidR="001E7D9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H. (2020). Communicat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ion Sciences and Disorders PhD graduates' perceptions of their PhD p</w:t>
      </w:r>
      <w:r w:rsidR="001E7D9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rogram. </w:t>
      </w:r>
      <w:r w:rsidR="001E7D90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Perspectives of the ASHA Special Interest Groups</w:t>
      </w:r>
      <w:r w:rsidR="001E7D9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1E7D90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5</w:t>
      </w:r>
      <w:r w:rsidR="001E7D9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(2), 463-478.</w:t>
      </w:r>
      <w:r w:rsidR="00D145AF" w:rsidRPr="00724C4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29C06FD7" w14:textId="77777777" w:rsidR="003E41B3" w:rsidRPr="003E41B3" w:rsidRDefault="003E41B3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Cruz-Correa, M. R., Sala, A. C., </w:t>
      </w:r>
      <w:proofErr w:type="spellStart"/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Cintrón</w:t>
      </w:r>
      <w:proofErr w:type="spellEnd"/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B., Hernández, J., Olivera, M., Cora, A., ... &amp; Hooper, S. R. (2020). Ubiquitous neurocognitive dysfunction in familial adenomatous polyposis: proof-of-concept of the role of APC protein in neurocognitive function. </w:t>
      </w:r>
      <w:r w:rsidRPr="003E41B3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Hereditary Cancer in Clinical Practice</w:t>
      </w:r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3E41B3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18</w:t>
      </w:r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(1), 1-9.</w:t>
      </w:r>
    </w:p>
    <w:p w14:paraId="79FB61AE" w14:textId="77777777" w:rsidR="003E41B3" w:rsidRPr="003E41B3" w:rsidRDefault="003E41B3" w:rsidP="003E41B3">
      <w:pPr>
        <w:pStyle w:val="ListParagraph"/>
        <w:tabs>
          <w:tab w:val="left" w:pos="990"/>
        </w:tabs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bidi="ar-SA"/>
        </w:rPr>
      </w:pPr>
    </w:p>
    <w:p w14:paraId="706E2E88" w14:textId="3E9F9E10" w:rsidR="009F6FF9" w:rsidRPr="009F6FF9" w:rsidRDefault="00AD009B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Cunningham, K.T., &amp; Haley, K.L. (2020). Measuring lexical diversity for discourse analysis in a</w:t>
      </w:r>
      <w:r w:rsidR="00731D4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phasia: Moving-Average Type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r w:rsidR="00731D4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–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r w:rsidR="00731D4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Token Ratio and Word Information Measure. </w:t>
      </w:r>
      <w:r w:rsidR="00731D4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Journal of Speech, Language, and Hearing Research</w:t>
      </w:r>
      <w:r w:rsidR="00731D4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731D4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63</w:t>
      </w:r>
      <w:r w:rsidR="00731D4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(3), 710-721.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0E6B8DF9" w14:textId="4D0819F4" w:rsidR="009F6FF9" w:rsidRPr="009F6FF9" w:rsidRDefault="009F6FF9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lastRenderedPageBreak/>
        <w:t xml:space="preserve">Davenport ML, Cornea E, Xia K, Crowley JJ, Halvorsen MW, Goldman BD, </w:t>
      </w:r>
      <w:proofErr w:type="spellStart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Reinhartsen</w:t>
      </w:r>
      <w:proofErr w:type="spellEnd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D, </w:t>
      </w:r>
      <w:proofErr w:type="spellStart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DeRamus</w:t>
      </w:r>
      <w:proofErr w:type="spellEnd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M, Pretzel R, </w:t>
      </w:r>
      <w:proofErr w:type="spellStart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Styner</w:t>
      </w:r>
      <w:proofErr w:type="spellEnd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M, Gilmore JH, Hooper SR, </w:t>
      </w:r>
      <w:proofErr w:type="spellStart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Knickmeyer</w:t>
      </w:r>
      <w:proofErr w:type="spellEnd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RC. Altered Brain Structure in Infants with Turner Syndrome. </w:t>
      </w:r>
      <w:proofErr w:type="spellStart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Cereb</w:t>
      </w:r>
      <w:proofErr w:type="spellEnd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Cortex. 2020 Mar 21;30(2):587-596. </w:t>
      </w:r>
      <w:proofErr w:type="spellStart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doi</w:t>
      </w:r>
      <w:proofErr w:type="spellEnd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: 10.1093/</w:t>
      </w:r>
      <w:proofErr w:type="spellStart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cercor</w:t>
      </w:r>
      <w:proofErr w:type="spellEnd"/>
      <w:r w:rsidRPr="009F6F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/bhz109. PMID: 31216015; PMCID: PMC7444739.</w:t>
      </w:r>
    </w:p>
    <w:p w14:paraId="3A6EB940" w14:textId="77777777" w:rsidR="009F6FF9" w:rsidRDefault="009F6FF9" w:rsidP="009F6FF9">
      <w:pPr>
        <w:pStyle w:val="ListParagraph"/>
        <w:tabs>
          <w:tab w:val="left" w:pos="990"/>
        </w:tabs>
        <w:ind w:left="90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30EFA1BD" w14:textId="5666A257" w:rsidR="00553D15" w:rsidRDefault="00553D15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De Bellis, M. D., Morey, R. A., </w:t>
      </w:r>
      <w:proofErr w:type="spellStart"/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Nooner</w:t>
      </w:r>
      <w:proofErr w:type="spellEnd"/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K. B., Woolley, D. P., Haswell, C. C., &amp; Hooper, S. R. (2019). A pilot study of neurocognitive function and brain structures in adolescents with alcohol use disorders: does maltreatment history </w:t>
      </w:r>
      <w:proofErr w:type="gramStart"/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matter?.</w:t>
      </w:r>
      <w:proofErr w:type="gramEnd"/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 </w:t>
      </w:r>
      <w:r w:rsidRPr="00553D15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Child maltreatment</w:t>
      </w:r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53D15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24</w:t>
      </w:r>
      <w:r w:rsidRPr="00553D1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(4), 374-388.</w:t>
      </w:r>
    </w:p>
    <w:p w14:paraId="7566DA53" w14:textId="77777777" w:rsidR="00553D15" w:rsidRPr="00553D15" w:rsidRDefault="00553D15" w:rsidP="00553D15">
      <w:pPr>
        <w:pStyle w:val="ListParagraph"/>
        <w:tabs>
          <w:tab w:val="left" w:pos="990"/>
        </w:tabs>
        <w:ind w:left="90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2802B9BE" w14:textId="719B5A64" w:rsidR="00E51E4D" w:rsidRPr="00580D8B" w:rsidRDefault="00AD009B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Dorney, K.</w:t>
      </w:r>
      <w:r w:rsidR="00731D4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E., &amp; Erickson, K. 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(2019). Transactions within a classroom-based AAC intervention targeting preschool s</w:t>
      </w:r>
      <w:r w:rsidR="00731D4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tudents wit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h Autism Spectrum Disorders: A mixed-methods i</w:t>
      </w:r>
      <w:r w:rsidR="00731D4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nvestigation. </w:t>
      </w:r>
      <w:r w:rsidR="00731D4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Exceptionality Education International</w:t>
      </w:r>
      <w:r w:rsidR="00731D4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731D4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29</w:t>
      </w:r>
      <w:r w:rsidR="00731D4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(2), 42-58.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3BD0D8EA" w14:textId="569485CB" w:rsidR="009111E6" w:rsidRPr="00580D8B" w:rsidRDefault="00B97B64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Doty, A., Ray, L., Clark, K., Bethune, L</w:t>
      </w:r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., &amp; Test, D. (2020). Evidence-based secondary transition predictors for physical therapists working with high school s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tudents.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Pediatric Physical Therapy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32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(3), 258-265.</w:t>
      </w:r>
      <w:r w:rsidR="00BC0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344313FC" w14:textId="3AAE7970" w:rsidR="00BC035F" w:rsidRDefault="00BC035F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proofErr w:type="spellStart"/>
      <w:r w:rsidRPr="00BC0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Dvir</w:t>
      </w:r>
      <w:proofErr w:type="spellEnd"/>
      <w:r w:rsidRPr="00BC0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Y., Frazier, J. A., Joseph, R. M., </w:t>
      </w:r>
      <w:proofErr w:type="spellStart"/>
      <w:r w:rsidRPr="00BC0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Mokrova</w:t>
      </w:r>
      <w:proofErr w:type="spellEnd"/>
      <w:r w:rsidRPr="00BC0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 I., Moore, P. S., O'Shea, T. M., ... &amp; ELGAN Study Investigators. (2019). Psychiatric Symptoms: Prevalence, Co-occurrence, and Functioning Among Extremely Low Gestational Age Newborns at Age 10 Years. </w:t>
      </w:r>
      <w:r w:rsidRPr="00BC035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bidi="ar-SA"/>
        </w:rPr>
        <w:t>Journal of Developmental &amp; Behavioral Pediatrics</w:t>
      </w:r>
      <w:r w:rsidRPr="00BC0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 </w:t>
      </w:r>
      <w:r w:rsidRPr="00BC035F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bidi="ar-SA"/>
        </w:rPr>
        <w:t>40</w:t>
      </w:r>
      <w:r w:rsidRPr="00BC03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(9), 725-734.</w:t>
      </w:r>
    </w:p>
    <w:p w14:paraId="52759DBF" w14:textId="77777777" w:rsidR="00BC035F" w:rsidRPr="00BC035F" w:rsidRDefault="00BC035F" w:rsidP="00BC035F">
      <w:pPr>
        <w:pStyle w:val="ListParagraph"/>
        <w:tabs>
          <w:tab w:val="left" w:pos="990"/>
        </w:tabs>
        <w:ind w:left="9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0A74BF05" w14:textId="74482DA1" w:rsidR="009111E6" w:rsidRPr="00580D8B" w:rsidRDefault="009111E6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Erickson, K., Geist, L., Hatch, P., &amp; Quick, N. (2019). The Universal Core Vocab</w:t>
      </w:r>
      <w:r w:rsidR="00AD009B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ulary [technical r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eport]. Chapel Hill, NC: Center for Literacy &amp; Disability Studies, University of North Carolina at Chapel Hill.</w:t>
      </w:r>
    </w:p>
    <w:p w14:paraId="00FF059D" w14:textId="77777777" w:rsidR="0002519C" w:rsidRPr="00580D8B" w:rsidRDefault="0002519C" w:rsidP="005B67F5">
      <w:pPr>
        <w:tabs>
          <w:tab w:val="left" w:pos="990"/>
        </w:tabs>
        <w:spacing w:after="0" w:line="240" w:lineRule="auto"/>
        <w:ind w:left="900" w:hanging="540"/>
        <w:rPr>
          <w:rFonts w:ascii="Arial" w:hAnsi="Arial" w:cs="Arial"/>
          <w:sz w:val="24"/>
          <w:szCs w:val="24"/>
        </w:rPr>
      </w:pPr>
    </w:p>
    <w:p w14:paraId="1867BE08" w14:textId="52A5F8BF" w:rsidR="002332D7" w:rsidRPr="00580D8B" w:rsidRDefault="009F1B37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Eshghi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M.</w:t>
      </w:r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</w:t>
      </w:r>
      <w:proofErr w:type="spellStart"/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Adatorwovor</w:t>
      </w:r>
      <w:proofErr w:type="spellEnd"/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R., </w:t>
      </w:r>
      <w:proofErr w:type="spellStart"/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Preisser</w:t>
      </w:r>
      <w:proofErr w:type="spellEnd"/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J.S., </w:t>
      </w:r>
      <w:proofErr w:type="spellStart"/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Crais</w:t>
      </w:r>
      <w:proofErr w:type="spellEnd"/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E.R., &amp; Zajac, D.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J. (2019). Vocabulary growth from 18 to 24 months of age in children with and without repaired cleft palate.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Journal of Speech, Language, and Hearing Research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62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(9), 3413-3430.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1C735B76" w14:textId="7790677C" w:rsidR="00AF70C4" w:rsidRPr="00580D8B" w:rsidRDefault="00AD009B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hAnsi="Arial" w:cs="Arial"/>
          <w:sz w:val="24"/>
          <w:szCs w:val="24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Findlater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S.E.,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Hawe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R.L., Mazerolle, E.L., Al Sultan, A.S., Cassidy, J.M., Scott, S.H., ... &amp;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Dukelow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S.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P. (2019). Com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paring CST l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esion metrics as biomarkers for recovery of motor and proprioceptive impairments after stroke. </w:t>
      </w:r>
      <w:r w:rsidR="00AF70C4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Neurorehabilitation and Neural Repair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AF70C4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33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(10), 848-861.</w:t>
      </w:r>
      <w:r w:rsidR="009111E6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1088771E" w14:textId="46BAA27E" w:rsidR="00AF70C4" w:rsidRPr="00580D8B" w:rsidRDefault="00C07870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Geist, L. (2020). Classroom-based communication instruction: The Project Core implementation model. </w:t>
      </w:r>
      <w:r w:rsidRPr="00580D8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bidi="ar-SA"/>
        </w:rPr>
        <w:t>Closing the Gap Solutions Annual Resource Directory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Pr="00580D8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bidi="ar-SA"/>
        </w:rPr>
        <w:t>38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3-8. </w:t>
      </w:r>
      <w:r w:rsidR="00D145AF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br/>
      </w:r>
    </w:p>
    <w:p w14:paraId="7E97E7C1" w14:textId="77777777" w:rsidR="00375ED2" w:rsidRPr="00580D8B" w:rsidRDefault="00E0224F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Geist, L., Erickson, K., Greer, C.,</w:t>
      </w:r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&amp; Hatch, P. (2020). Enhancing classroom-based communication instruction for students with significant disabilities and limited l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anguage.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Exceptionality Education International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30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(1)</w:t>
      </w:r>
      <w:r w:rsidR="007A4BD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42-54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.</w:t>
      </w:r>
    </w:p>
    <w:p w14:paraId="14900298" w14:textId="77777777" w:rsidR="00375ED2" w:rsidRPr="00580D8B" w:rsidRDefault="00375ED2" w:rsidP="005B67F5">
      <w:pPr>
        <w:pStyle w:val="ListParagraph"/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  <w:lang w:bidi="ar-SA"/>
        </w:rPr>
      </w:pPr>
    </w:p>
    <w:p w14:paraId="7BBAF6B3" w14:textId="24A2CC9A" w:rsidR="00375ED2" w:rsidRPr="00580D8B" w:rsidRDefault="00375ED2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Ghodke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A., Ives, T.J., Austin, A.E., Bennett, W.C., Patel, N.Y.,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Eshet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S.A., &amp;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Chelminski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P.R. (2020). Pain agreements and time-to-event analysis of substance misuse in a primary care chronic pain program.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 xml:space="preserve">Pain Medicine, </w:t>
      </w:r>
      <w:r w:rsidRPr="00580D8B">
        <w:rPr>
          <w:rFonts w:ascii="Arial" w:eastAsia="Times New Roman" w:hAnsi="Arial" w:cs="Arial"/>
          <w:iCs/>
          <w:color w:val="222222"/>
          <w:sz w:val="24"/>
          <w:szCs w:val="24"/>
          <w:shd w:val="clear" w:color="auto" w:fill="FFFFFF"/>
          <w:lang w:bidi="ar-SA"/>
        </w:rPr>
        <w:t>Mar.18.</w:t>
      </w:r>
    </w:p>
    <w:p w14:paraId="1CDD9572" w14:textId="77777777" w:rsidR="00375ED2" w:rsidRPr="00580D8B" w:rsidRDefault="00375ED2" w:rsidP="005B67F5">
      <w:pPr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  <w:lang w:bidi="ar-SA"/>
        </w:rPr>
      </w:pPr>
    </w:p>
    <w:p w14:paraId="24BB47CC" w14:textId="40149618" w:rsidR="00ED4176" w:rsidRPr="00ED4176" w:rsidRDefault="0060047B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580D8B">
        <w:rPr>
          <w:rFonts w:ascii="Arial" w:hAnsi="Arial" w:cs="Arial"/>
          <w:sz w:val="24"/>
          <w:szCs w:val="24"/>
        </w:rPr>
        <w:lastRenderedPageBreak/>
        <w:t xml:space="preserve">Green, C.E., Jyotsna, J., Gupta, P.T., Gross, M.T. (2020). Evidence-based evaluation and treatment of a patient with plantar heel pain: A case report. </w:t>
      </w:r>
      <w:r w:rsidRPr="00580D8B">
        <w:rPr>
          <w:rFonts w:ascii="Arial" w:hAnsi="Arial" w:cs="Arial"/>
          <w:i/>
          <w:sz w:val="24"/>
          <w:szCs w:val="24"/>
        </w:rPr>
        <w:t>Orthopedic Physical Therapy Practice</w:t>
      </w:r>
      <w:r w:rsidR="00ED4176">
        <w:rPr>
          <w:rFonts w:ascii="Arial" w:hAnsi="Arial" w:cs="Arial"/>
          <w:sz w:val="24"/>
          <w:szCs w:val="24"/>
        </w:rPr>
        <w:t>, 32(1).</w:t>
      </w:r>
      <w:r w:rsidR="00ED4176">
        <w:rPr>
          <w:rFonts w:ascii="Arial" w:hAnsi="Arial" w:cs="Arial"/>
          <w:sz w:val="24"/>
          <w:szCs w:val="24"/>
        </w:rPr>
        <w:br/>
      </w:r>
    </w:p>
    <w:p w14:paraId="1A9895D1" w14:textId="54FE5710" w:rsidR="00E228C1" w:rsidRPr="00580D8B" w:rsidRDefault="00E0224F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Grzadzinski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R., Donovan, K., Truong, K., Nowell, S., Lee, H., Sideris, J., ... &amp;</w:t>
      </w:r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Watson, L. R. (2020). Sensory reactivity at 1 and 2 years old is associated with ASD severity during the preschool y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ears.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Journal of Autism and Developmental Disorders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1-10.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41ACE2D3" w14:textId="679C1625" w:rsidR="002332D7" w:rsidRPr="00580D8B" w:rsidRDefault="00AD009B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Haley, K.L., Cunningham, K.T., Jacks, A., Richardson, J.</w:t>
      </w:r>
      <w:r w:rsidR="00E0224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., Harmon, T., &amp;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Turkeltaub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P.</w:t>
      </w:r>
      <w:r w:rsidR="00E0224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E. (2020). Repeated word production is inconsistent in both aphasia and apraxia of speech. </w:t>
      </w:r>
      <w:r w:rsidR="00E0224F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Aphasiology</w:t>
      </w:r>
      <w:r w:rsidR="00E0224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1-21.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43A73326" w14:textId="18A248B2" w:rsidR="002B41A6" w:rsidRPr="00580D8B" w:rsidRDefault="00E0224F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Ha</w:t>
      </w:r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ley, K.L., Cunningham, K.T., Kim, I., &amp; Shafer, J.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S. (2019). Autonomy-supportive treatment f</w:t>
      </w:r>
      <w:r w:rsidR="00AD009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or acquired apraxia of speech: F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easibility and therapeutic effect.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Aphasiology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1-21.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1FC1E126" w14:textId="2075830D" w:rsidR="00C07870" w:rsidRPr="00ED4176" w:rsidRDefault="00044911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Haley, K.</w:t>
      </w:r>
      <w:r w:rsidR="0018101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L., Jacks, A.,</w:t>
      </w:r>
      <w:r w:rsidR="00E8500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Morrison, B., &amp; Richardson, J.</w:t>
      </w:r>
      <w:r w:rsidR="0018101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D. (2019). Balance and preference in activity participation for informal caregivers of people with aphasia: A questionnaire study. </w:t>
      </w:r>
      <w:r w:rsidR="00181018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Aphasiology</w:t>
      </w:r>
      <w:r w:rsidR="0018101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1-19.</w:t>
      </w:r>
      <w:r w:rsidR="00D145AF" w:rsidRPr="00ED4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227866ED" w14:textId="003F7795" w:rsidR="002332D7" w:rsidRPr="00ED4176" w:rsidRDefault="0097799F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Haley, K.L., Smith, M., &amp;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Wambaugh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J.</w:t>
      </w:r>
      <w:r w:rsidR="0018101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L. (2019). Sound distortion errors in aphasia with apraxia of speech.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American Journal of Speech-Language P</w:t>
      </w:r>
      <w:r w:rsidR="00181018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athology</w:t>
      </w:r>
      <w:r w:rsidR="0018101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181018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28</w:t>
      </w:r>
      <w:r w:rsidR="0018101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(1), 121-135.</w:t>
      </w:r>
      <w:r w:rsidR="00ED41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5CCF1D6B" w14:textId="03D8D0AD" w:rsidR="00CD04C3" w:rsidRPr="00580D8B" w:rsidRDefault="0097799F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Harmon, T.</w:t>
      </w:r>
      <w:r w:rsidR="00CD04C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G., Jacks, A., Haley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K.</w:t>
      </w:r>
      <w:r w:rsidR="00CD04C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L., &amp; </w:t>
      </w:r>
      <w:proofErr w:type="spellStart"/>
      <w:r w:rsidR="00CD04C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Bailliard</w:t>
      </w:r>
      <w:proofErr w:type="spellEnd"/>
      <w:r w:rsidR="00CD04C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A. (2020). How responsiveness from a communication partner affects story retell in aphasia: Quantitative and qualitative findings. </w:t>
      </w:r>
      <w:r w:rsidR="00CD04C3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American Journal of Speech-Language Pathology</w:t>
      </w:r>
      <w:r w:rsidR="00CD04C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CD04C3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29</w:t>
      </w:r>
      <w:r w:rsidR="00CD04C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(1), 142-156.</w:t>
      </w:r>
    </w:p>
    <w:p w14:paraId="59220FC0" w14:textId="77777777" w:rsidR="001F20E9" w:rsidRPr="00580D8B" w:rsidRDefault="001F20E9" w:rsidP="005B67F5">
      <w:pPr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11A968A9" w14:textId="50953823" w:rsidR="00DD5778" w:rsidRPr="00ED4176" w:rsidRDefault="0097799F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Harmon, T.G., Jacks, A., &amp; Haley, K.</w:t>
      </w:r>
      <w:r w:rsidR="001F20E9"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L</w:t>
      </w:r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. (2019). Speech fluency in acquired apraxia of speech during narrative discourse: Group comparisons and dual-task e</w:t>
      </w:r>
      <w:r w:rsidR="001F20E9"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ffects. </w:t>
      </w:r>
      <w:r w:rsidR="001F20E9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lang w:bidi="ar-SA"/>
        </w:rPr>
        <w:t>American Journal of Speech-Language Pathology</w:t>
      </w:r>
      <w:r w:rsidR="001F20E9"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, </w:t>
      </w:r>
      <w:r w:rsidR="001F20E9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lang w:bidi="ar-SA"/>
        </w:rPr>
        <w:t>28</w:t>
      </w:r>
      <w:r w:rsidR="001F20E9"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(2S), 905-914</w:t>
      </w:r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br/>
      </w:r>
    </w:p>
    <w:p w14:paraId="0253A32E" w14:textId="27C9E73F" w:rsidR="00DD5778" w:rsidRPr="00580D8B" w:rsidRDefault="0097799F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Harrop, C., Jones, D.R.,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Sasson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N.J., Zheng, S., Nowell, S.</w:t>
      </w:r>
      <w:r w:rsidR="00DD577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W., &amp; Parish</w:t>
      </w:r>
      <w:r w:rsidR="00DD5778" w:rsidRPr="00580D8B">
        <w:rPr>
          <w:rFonts w:ascii="American Typewriter" w:eastAsia="Times New Roman" w:hAnsi="American Typewriter" w:cs="American Typewriter"/>
          <w:color w:val="222222"/>
          <w:sz w:val="24"/>
          <w:szCs w:val="24"/>
          <w:shd w:val="clear" w:color="auto" w:fill="FFFFFF"/>
          <w:lang w:bidi="ar-SA"/>
        </w:rPr>
        <w:t>‐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Morris, J. (2020). Social and object attention is influenced by biological sex and toy g</w:t>
      </w:r>
      <w:r w:rsidR="00DD577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ender</w:t>
      </w:r>
      <w:r w:rsidR="00DD5778" w:rsidRPr="00580D8B">
        <w:rPr>
          <w:rFonts w:ascii="American Typewriter" w:eastAsia="Times New Roman" w:hAnsi="American Typewriter" w:cs="American Typewriter"/>
          <w:color w:val="222222"/>
          <w:sz w:val="24"/>
          <w:szCs w:val="24"/>
          <w:shd w:val="clear" w:color="auto" w:fill="FFFFFF"/>
          <w:lang w:bidi="ar-SA"/>
        </w:rPr>
        <w:t>‐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congruence in children with and without a</w:t>
      </w:r>
      <w:r w:rsidR="00DD577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utism. </w:t>
      </w:r>
      <w:r w:rsidR="00DD5778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Autism Research</w:t>
      </w:r>
      <w:r w:rsidR="00DD577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DD5778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13</w:t>
      </w:r>
      <w:r w:rsidR="00DD577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(5), 763-776.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6D221A5E" w14:textId="505A6B3E" w:rsidR="00B92AE4" w:rsidRDefault="003E41B3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Harshman, L. A., &amp; Hooper, S. R. (2020). The brain in pediatric chronic kidney disease–the intersection of cognition, neuroimaging, and clinical biomarkers. </w:t>
      </w:r>
      <w:r w:rsidRPr="003E41B3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Pediatric Nephrology</w:t>
      </w:r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</w:t>
      </w:r>
      <w:r w:rsid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r w:rsidRPr="003E41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1-9.</w:t>
      </w:r>
      <w:r w:rsid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374E0FCB" w14:textId="28E17A6B" w:rsidR="00B92AE4" w:rsidRPr="00B92AE4" w:rsidRDefault="00B92AE4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Harshman LA, </w:t>
      </w:r>
      <w:proofErr w:type="spellStart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Kogon</w:t>
      </w:r>
      <w:proofErr w:type="spellEnd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AJ, Matheson MB, Johnson RJ, </w:t>
      </w:r>
      <w:proofErr w:type="spellStart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Shinnar</w:t>
      </w:r>
      <w:proofErr w:type="spellEnd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S, Gerson AC, </w:t>
      </w:r>
      <w:proofErr w:type="spellStart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Warady</w:t>
      </w:r>
      <w:proofErr w:type="spellEnd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BA, Furth SL, Hooper SR, </w:t>
      </w:r>
      <w:proofErr w:type="spellStart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Lande</w:t>
      </w:r>
      <w:proofErr w:type="spellEnd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MB. Bicarbonate, blood pressure, and executive function in pediatric CKD-is there a link? </w:t>
      </w:r>
      <w:proofErr w:type="spellStart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Pediatr</w:t>
      </w:r>
      <w:proofErr w:type="spellEnd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Nephrol. 2020 Jul;35(7):1323-1330. </w:t>
      </w:r>
      <w:proofErr w:type="spellStart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doi</w:t>
      </w:r>
      <w:proofErr w:type="spellEnd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: 10.1007/s00467-020-04507-5. </w:t>
      </w:r>
      <w:proofErr w:type="spellStart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Epub</w:t>
      </w:r>
      <w:proofErr w:type="spellEnd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2020 Apr 15. PMID: 32297000.</w:t>
      </w:r>
    </w:p>
    <w:p w14:paraId="4D5CB396" w14:textId="77777777" w:rsidR="00B92AE4" w:rsidRPr="00B92AE4" w:rsidRDefault="00B92AE4" w:rsidP="00B92AE4">
      <w:pPr>
        <w:pStyle w:val="ListParagraph"/>
        <w:tabs>
          <w:tab w:val="left" w:pos="990"/>
        </w:tabs>
        <w:ind w:left="90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3CDCF1C0" w14:textId="77777777" w:rsidR="003E41B3" w:rsidRPr="003E41B3" w:rsidRDefault="003E41B3" w:rsidP="003E41B3">
      <w:pPr>
        <w:pStyle w:val="ListParagraph"/>
        <w:tabs>
          <w:tab w:val="left" w:pos="990"/>
        </w:tabs>
        <w:ind w:left="90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16180037" w14:textId="1905C07E" w:rsidR="002332D7" w:rsidRPr="003521D9" w:rsidRDefault="003E2DCB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Hoppe, M., Chawl</w:t>
      </w:r>
      <w:r w:rsidR="00876949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a, G., Browner, N., &amp; </w:t>
      </w:r>
      <w:proofErr w:type="spellStart"/>
      <w:r w:rsidR="00876949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Lewek</w:t>
      </w:r>
      <w:proofErr w:type="spellEnd"/>
      <w:r w:rsidR="00876949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M.D. (2020). The effects of m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etro</w:t>
      </w:r>
      <w:r w:rsidR="00876949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nome frequency differentially </w:t>
      </w:r>
      <w:proofErr w:type="gramStart"/>
      <w:r w:rsidR="00876949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affects</w:t>
      </w:r>
      <w:proofErr w:type="gramEnd"/>
      <w:r w:rsidR="00876949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gait on a treadmill and overground in p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eople with Parkinson Disease.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Gait &amp; Posture</w:t>
      </w:r>
      <w:r w:rsidR="0002519C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</w:t>
      </w:r>
      <w:r w:rsidR="0002519C" w:rsidRPr="00580D8B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bidi="ar-SA"/>
        </w:rPr>
        <w:t>79</w:t>
      </w:r>
      <w:r w:rsidR="0002519C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(41-45).</w:t>
      </w:r>
      <w:r w:rsidR="00D145AF" w:rsidRPr="003521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07E20B18" w14:textId="6C48B2DD" w:rsidR="002B41A6" w:rsidRPr="00580D8B" w:rsidRDefault="00200E70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lastRenderedPageBreak/>
        <w:t>Johnson, K.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R., &amp; </w:t>
      </w:r>
      <w:proofErr w:type="spellStart"/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Ba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gatell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N. (2020). Negotiating tensions on the front line: Circuits of accountability and self-governance in institutional care of a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dults with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intellectual d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isability. </w:t>
      </w:r>
      <w:r w:rsidR="00026DE0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Work, Employment and Society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026DE0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34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(4), 644-660.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31B4EB30" w14:textId="77777777" w:rsidR="00375ED2" w:rsidRPr="00580D8B" w:rsidRDefault="00597FD1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Johnson, K.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R.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Blaskowitz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M., &amp; Mahoney, W.J. (2019). Occupational therapy practice with adults with intellectual disability: What more can we d</w:t>
      </w:r>
      <w:r w:rsidR="00D32A59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o?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 </w:t>
      </w:r>
      <w:r w:rsidR="00026DE0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The Open Journal of Occupational Therapy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026DE0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7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(2), 12.</w:t>
      </w:r>
    </w:p>
    <w:p w14:paraId="2765B1B1" w14:textId="6B9A6F6C" w:rsidR="00026DE0" w:rsidRPr="00580D8B" w:rsidRDefault="00026DE0" w:rsidP="005B67F5">
      <w:pPr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  <w:lang w:bidi="ar-SA"/>
        </w:rPr>
      </w:pPr>
    </w:p>
    <w:p w14:paraId="05D05E4E" w14:textId="557B88E3" w:rsidR="002B41A6" w:rsidRPr="00580D8B" w:rsidRDefault="00D32A59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Kenan, N.,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Zachor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D.A., Watson, L.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R., &amp; Be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n-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Itzchak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E. (2019). Semantic-pragmatic impairment in the narratives of children w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ith Autism Spectrum Disorders.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Frontiers in P</w:t>
      </w:r>
      <w:r w:rsidR="00F43AB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sychology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F43AB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10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</w:t>
      </w:r>
      <w:r w:rsidR="003403E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1-11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457EFD06" w14:textId="77777777" w:rsidR="00375ED2" w:rsidRPr="00580D8B" w:rsidRDefault="00375ED2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Kirby, A.V.,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Bagatell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N. &amp;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Baranek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G.T. (2020). The formation of postsecondary expectations among parents of youth with Autism Spectrum Disorder. </w:t>
      </w:r>
      <w:r w:rsidRPr="00580D8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bidi="ar-SA"/>
        </w:rPr>
        <w:t>Focus on Autism and Other Developmental Disabilities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Pr="00580D8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bidi="ar-SA"/>
        </w:rPr>
        <w:t>35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(2), 118-128.</w:t>
      </w:r>
    </w:p>
    <w:p w14:paraId="0C498AAB" w14:textId="77777777" w:rsidR="00375ED2" w:rsidRPr="00580D8B" w:rsidRDefault="00375ED2" w:rsidP="005B67F5">
      <w:pPr>
        <w:pStyle w:val="ListParagraph"/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03F79398" w14:textId="769FC819" w:rsidR="009328CB" w:rsidRDefault="00375ED2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Klein, B.A., Weintraub, J.A.,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Brame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J.L.,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Kowlowitz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V., McKenna, N.M., &amp;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Ciarrocca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K. (2020). Audiology and oral health professional students: An interprofessional education collaboration.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Journal of Dental Education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https://doi.org/10.1002/jdd.12175.</w:t>
      </w:r>
      <w:r w:rsid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br/>
      </w:r>
    </w:p>
    <w:p w14:paraId="79BB3114" w14:textId="1F01BDA1" w:rsidR="009328CB" w:rsidRPr="009328CB" w:rsidRDefault="009328CB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proofErr w:type="spellStart"/>
      <w:r w:rsidRPr="009328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</w:t>
      </w:r>
      <w:r w:rsidRPr="009328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ogon</w:t>
      </w:r>
      <w:proofErr w:type="spellEnd"/>
      <w:r w:rsidRPr="009328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A. J., Kim, J. Y., Laney, N., Radcliffe, J., Hooper, S. R., Furth, S. L., &amp; Hartung, E. A. (2019). Depression and neurocognitive dysfunction in pediatric and young adult chronic kidney disease. </w:t>
      </w:r>
      <w:r w:rsidRPr="009328C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Pediatric Nephrology</w:t>
      </w:r>
      <w:r w:rsidRPr="009328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9328C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34</w:t>
      </w:r>
      <w:r w:rsidRPr="009328C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(9), 1575-1582.</w:t>
      </w:r>
    </w:p>
    <w:p w14:paraId="1A6E92C8" w14:textId="77777777" w:rsidR="009328CB" w:rsidRPr="009328CB" w:rsidRDefault="009328CB" w:rsidP="009328CB">
      <w:pPr>
        <w:pStyle w:val="ListParagraph"/>
        <w:tabs>
          <w:tab w:val="left" w:pos="990"/>
        </w:tabs>
        <w:spacing w:after="0" w:line="240" w:lineRule="auto"/>
        <w:ind w:left="90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1223F46C" w14:textId="3F692CD3" w:rsidR="002B0E8D" w:rsidRPr="00580D8B" w:rsidRDefault="00D32A59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Kolanski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S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Lane,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R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Neogi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T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Hochberg,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Oatis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C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Guyatt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G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Block,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J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 Callahan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L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Copenhaver,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C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Dodge,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C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Felson,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Geller,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K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Harvey,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W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Hawker,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G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Herzig,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Kwoh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K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Nelson,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A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Samuels,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J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proofErr w:type="spellStart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Scanzello</w:t>
      </w:r>
      <w:proofErr w:type="spellEnd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C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White,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Wise,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B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Altman,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R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proofErr w:type="spellStart"/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DiRenzo</w:t>
      </w:r>
      <w:proofErr w:type="spellEnd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D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Fontanarosa</w:t>
      </w:r>
      <w:proofErr w:type="spellEnd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J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Giradi</w:t>
      </w:r>
      <w:proofErr w:type="spellEnd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G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Ishimori</w:t>
      </w:r>
      <w:proofErr w:type="spellEnd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proofErr w:type="spellStart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Misra</w:t>
      </w:r>
      <w:proofErr w:type="spellEnd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Shah,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A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Shmagel</w:t>
      </w:r>
      <w:proofErr w:type="spellEnd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A</w:t>
      </w:r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Thoma</w:t>
      </w:r>
      <w:proofErr w:type="spellEnd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LM, </w:t>
      </w:r>
      <w:proofErr w:type="spellStart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Turgunbaev</w:t>
      </w:r>
      <w:proofErr w:type="spellEnd"/>
      <w:r w:rsidR="008D5277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M, Turner, A, &amp; Reston, </w:t>
      </w:r>
      <w:r w:rsidR="002B0E8D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J. </w:t>
      </w:r>
      <w:r w:rsidR="002B0E8D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(2020). 2019 American College of Rheumatology/Arthritis Foundation guideline for the management of osteoarthritis of the hand, hip, and knee. </w:t>
      </w:r>
      <w:r w:rsidR="002B0E8D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Arthritis &amp; Rheumatology</w:t>
      </w:r>
      <w:r w:rsidR="002B0E8D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2B0E8D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72</w:t>
      </w:r>
      <w:r w:rsidR="002B0E8D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(2), 220-233.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0DB85EE5" w14:textId="68138BEC" w:rsidR="00B92AE4" w:rsidRPr="00E81601" w:rsidRDefault="00B92AE4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proofErr w:type="spellStart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Kupferman</w:t>
      </w:r>
      <w:proofErr w:type="spellEnd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JC, Matheson MB, </w:t>
      </w:r>
      <w:proofErr w:type="spellStart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Lande</w:t>
      </w:r>
      <w:proofErr w:type="spellEnd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MB, Flynn JT, Furth S, </w:t>
      </w:r>
      <w:proofErr w:type="spellStart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Warady</w:t>
      </w:r>
      <w:proofErr w:type="spellEnd"/>
      <w:r w:rsidRPr="00B92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BA, Hooper SR.</w:t>
      </w:r>
      <w:r w:rsid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</w:t>
      </w:r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2020</w:t>
      </w:r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). </w:t>
      </w:r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Increased history of ischemic stroke and decreased neurocognitive performance in children with chronic kidney disease.</w:t>
      </w:r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proofErr w:type="spellStart"/>
      <w:r w:rsidRPr="00E8160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Pediatr</w:t>
      </w:r>
      <w:proofErr w:type="spellEnd"/>
      <w:r w:rsidRPr="00E8160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 xml:space="preserve"> Nephrol.</w:t>
      </w:r>
      <w:r w:rsidRPr="00E8160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 xml:space="preserve">, </w:t>
      </w:r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Jul;35(7):1315-1321. </w:t>
      </w:r>
      <w:proofErr w:type="spellStart"/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doi</w:t>
      </w:r>
      <w:proofErr w:type="spellEnd"/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: 10.1007/s00467-020-04503-9. </w:t>
      </w:r>
    </w:p>
    <w:p w14:paraId="4FB58D78" w14:textId="77777777" w:rsidR="00B92AE4" w:rsidRPr="00B92AE4" w:rsidRDefault="00B92AE4" w:rsidP="00B92AE4">
      <w:pPr>
        <w:pStyle w:val="ListParagraph"/>
        <w:tabs>
          <w:tab w:val="left" w:pos="990"/>
        </w:tabs>
        <w:ind w:left="900"/>
        <w:rPr>
          <w:rFonts w:ascii="Arial" w:eastAsia="Times New Roman" w:hAnsi="Arial" w:cs="Arial"/>
          <w:sz w:val="24"/>
          <w:szCs w:val="24"/>
          <w:lang w:bidi="ar-SA"/>
        </w:rPr>
      </w:pPr>
    </w:p>
    <w:p w14:paraId="48F3CC85" w14:textId="4BF9E069" w:rsidR="00E81601" w:rsidRPr="00E81601" w:rsidRDefault="00F43AB1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Lavalley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R., &amp;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Bailliard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A. (2020). A communal perspective of occupation: Community change in a senior center welcoming Spanish-speaking immigrants.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Journal of Occupational Science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1-13.</w:t>
      </w:r>
      <w:r w:rsid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4B2DCE90" w14:textId="50EBD7FE" w:rsidR="00E81601" w:rsidRPr="00E81601" w:rsidRDefault="00DD5778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Lecavalier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L., </w:t>
      </w:r>
      <w:proofErr w:type="spellStart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Bodfish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J., Harrop, C., Whitten, A., Jones, D., Pritchett, J., </w:t>
      </w:r>
      <w:proofErr w:type="spellStart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Faldowski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 R., &amp; Boyd, B. (online first). Development of the Be</w:t>
      </w:r>
      <w:r w:rsidR="007C58FF"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havior Inflexibility Scale for c</w:t>
      </w:r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hildren wit</w:t>
      </w:r>
      <w:r w:rsidR="007C58FF"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 Autism Spectrum Disorder and other developmental d</w:t>
      </w:r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isabilities. </w:t>
      </w:r>
      <w:r w:rsidRPr="00E8160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bidi="ar-SA"/>
        </w:rPr>
        <w:t>Autism Research</w:t>
      </w:r>
      <w:r w:rsidR="000D4D11"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0D4D11" w:rsidRPr="00E8160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bidi="ar-SA"/>
        </w:rPr>
        <w:t>13</w:t>
      </w:r>
      <w:r w:rsidR="000D4D11"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(3), 489-499.</w:t>
      </w:r>
      <w:r w:rsid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br/>
      </w:r>
    </w:p>
    <w:p w14:paraId="4BD01C72" w14:textId="02C9FD66" w:rsidR="00E81601" w:rsidRPr="00E81601" w:rsidRDefault="007C58FF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eastAsia="Times New Roman" w:hAnsi="Arial" w:cs="Arial"/>
          <w:sz w:val="24"/>
          <w:szCs w:val="24"/>
          <w:lang w:bidi="ar-SA"/>
        </w:rPr>
      </w:pPr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Lee, H.</w:t>
      </w:r>
      <w:r w:rsidR="00026DE0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Y., </w:t>
      </w:r>
      <w:proofErr w:type="spellStart"/>
      <w:r w:rsidR="00026DE0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Vigen</w:t>
      </w:r>
      <w:proofErr w:type="spellEnd"/>
      <w:r w:rsidR="00026DE0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C., </w:t>
      </w:r>
      <w:proofErr w:type="spellStart"/>
      <w:r w:rsidR="00026DE0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Zwaigenbaum</w:t>
      </w:r>
      <w:proofErr w:type="spellEnd"/>
      <w:r w:rsidR="00026DE0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L., Bryson, S., Smith, I., Brian, J</w:t>
      </w:r>
      <w:r w:rsidR="003403E1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., Smi</w:t>
      </w:r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th, I., Watson, L.R., </w:t>
      </w:r>
      <w:proofErr w:type="spellStart"/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Crais</w:t>
      </w:r>
      <w:proofErr w:type="spellEnd"/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E.</w:t>
      </w:r>
      <w:r w:rsidR="003403E1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R., Turner-Brown, L</w:t>
      </w:r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. Reznick, J.S…. &amp; </w:t>
      </w:r>
      <w:proofErr w:type="spellStart"/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Baranek</w:t>
      </w:r>
      <w:proofErr w:type="spellEnd"/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G.T.</w:t>
      </w:r>
      <w:r w:rsidR="00026DE0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(2019). The </w:t>
      </w:r>
      <w:r w:rsidR="00026DE0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lastRenderedPageBreak/>
        <w:t>perf</w:t>
      </w:r>
      <w:r w:rsidR="003403E1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ormance of the First Year I</w:t>
      </w:r>
      <w:r w:rsidR="00026DE0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nventory (FYI) screening on a sample of high-risk 12-month-olds diagnosed with autism Spectrum disorder (ASD) at 36 months. </w:t>
      </w:r>
      <w:r w:rsidRPr="00E8160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Journal of Autism and Developmental D</w:t>
      </w:r>
      <w:r w:rsidR="00026DE0" w:rsidRPr="00E8160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isorders</w:t>
      </w:r>
      <w:r w:rsidR="00026DE0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026DE0" w:rsidRPr="00E8160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49</w:t>
      </w:r>
      <w:r w:rsidR="00026DE0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(12), 4957-4973.</w:t>
      </w:r>
      <w:r w:rsid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19EB73F6" w14:textId="1A0AE888" w:rsidR="00E81601" w:rsidRPr="00E81601" w:rsidRDefault="005A078F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Lewek</w:t>
      </w:r>
      <w:proofErr w:type="spellEnd"/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M.D., &amp; Sawicki, G.</w:t>
      </w:r>
      <w:r w:rsidR="00805009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S. (2019). Trailing limb angle is a surrogate for propulsive limb forces during walking post-stroke. </w:t>
      </w:r>
      <w:r w:rsidR="00805009" w:rsidRPr="00E8160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Clinical Biomechanics</w:t>
      </w:r>
      <w:r w:rsidR="00805009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805009" w:rsidRPr="00E8160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67</w:t>
      </w:r>
      <w:r w:rsidR="00805009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115-118.</w:t>
      </w:r>
      <w:r w:rsid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4E7AB6FD" w14:textId="6F909D32" w:rsidR="001D24FA" w:rsidRPr="00E81601" w:rsidRDefault="005A078F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sz w:val="24"/>
          <w:szCs w:val="24"/>
          <w:lang w:bidi="ar-SA"/>
        </w:rPr>
      </w:pPr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Liew, S.</w:t>
      </w:r>
      <w:r w:rsidR="0031145E"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L., </w:t>
      </w:r>
      <w:proofErr w:type="spellStart"/>
      <w:r w:rsidR="0031145E"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Zavaliangos-Petropu</w:t>
      </w:r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lu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A., </w:t>
      </w:r>
      <w:proofErr w:type="spellStart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Jahanshad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N., Lang, C.E., Hayward, K.S., Lohse, K. R., </w:t>
      </w:r>
      <w:proofErr w:type="spellStart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Juliano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J.M., </w:t>
      </w:r>
      <w:proofErr w:type="spellStart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Assogna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 F., Baugh, L.A., Bhattacharya, A.</w:t>
      </w:r>
      <w:r w:rsidR="0031145E"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K., </w:t>
      </w:r>
      <w:proofErr w:type="spellStart"/>
      <w:r w:rsidR="0031145E"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Bigjahan</w:t>
      </w:r>
      <w:proofErr w:type="spellEnd"/>
      <w:r w:rsidR="0031145E"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 B., Bo</w:t>
      </w:r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rich, M.R., Boyd, L.</w:t>
      </w:r>
      <w:r w:rsidR="0031145E"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A.</w:t>
      </w:r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proofErr w:type="spellStart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Brodtmann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A., </w:t>
      </w:r>
      <w:proofErr w:type="spellStart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Buetefisch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C.M., </w:t>
      </w:r>
      <w:proofErr w:type="spellStart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Byblow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W.D., Cassidy, J.M., </w:t>
      </w:r>
      <w:proofErr w:type="spellStart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Conforto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A.B., Craddock, R.C., </w:t>
      </w:r>
      <w:proofErr w:type="spellStart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Dimyan</w:t>
      </w:r>
      <w:proofErr w:type="spellEnd"/>
      <w:r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 M.A., … Thompson, P.</w:t>
      </w:r>
      <w:r w:rsidR="0031145E" w:rsidRPr="00E816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M. (2020). </w:t>
      </w:r>
      <w:r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The ENIGMA stroke recovery working g</w:t>
      </w:r>
      <w:r w:rsidR="001D24FA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roup: Big data neuroimaging to study brain–behavior relationships after stroke. </w:t>
      </w:r>
      <w:r w:rsidR="001D24FA" w:rsidRPr="00E81601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Human Brain Mapping</w:t>
      </w:r>
      <w:r w:rsidR="001D24FA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.</w:t>
      </w:r>
      <w:r w:rsidR="00D145AF" w:rsidRPr="00E816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135B38A4" w14:textId="174F5678" w:rsidR="00AF70C4" w:rsidRPr="00580D8B" w:rsidRDefault="005A078F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Lin, D.J., Cloutier, A.M.,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Erler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K.S., Cassidy, J.M., Snider, S.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B., Ran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ford, J., ... &amp;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Finklestein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S.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P. (2019). Corticospinal tract injury estimated from acute stroke imaging predicts upper extremity motor recovery after stroke. </w:t>
      </w:r>
      <w:r w:rsidR="00AF70C4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Stroke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AF70C4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50</w:t>
      </w:r>
      <w:r w:rsidR="00AF70C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(12), 3569-3577.</w:t>
      </w:r>
    </w:p>
    <w:p w14:paraId="71A66257" w14:textId="77777777" w:rsidR="00FA49D3" w:rsidRPr="00580D8B" w:rsidRDefault="00FA49D3" w:rsidP="005B67F5">
      <w:pPr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1EF7C2DD" w14:textId="766207E6" w:rsidR="00026DE0" w:rsidRPr="00580D8B" w:rsidRDefault="00FA49D3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Matherne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T., Cooke, J., McMorris, M., &amp; Gross, M. (2019). Delayed conservative treatment of an acute lateral ankle sprain in a non-athlete female </w:t>
      </w:r>
      <w:r w:rsidR="00F60DE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following walking boot immobiliz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ation.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BMJ Case Reports CP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12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(7), e229625.</w:t>
      </w:r>
      <w:r w:rsidR="00705CE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08293C37" w14:textId="136287A6" w:rsidR="00E51E4D" w:rsidRPr="00580D8B" w:rsidRDefault="00CD42A0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McCarty, D.</w:t>
      </w:r>
      <w:r w:rsidR="00705CE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B. (2020). Author r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esponse to </w:t>
      </w:r>
      <w:proofErr w:type="spellStart"/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Kharel</w:t>
      </w:r>
      <w:proofErr w:type="spellEnd"/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et al.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Physical T</w:t>
      </w:r>
      <w:r w:rsidR="00F43AB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herapy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F43AB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100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(6), 1041-1042.</w:t>
      </w:r>
      <w:r w:rsidR="00DD577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51AA3774" w14:textId="77777777" w:rsidR="00697948" w:rsidRPr="00697948" w:rsidRDefault="00697948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McConkie</w:t>
      </w:r>
      <w:r w:rsidRPr="00697948">
        <w:rPr>
          <w:rFonts w:ascii="Cambria Math" w:eastAsia="Times New Roman" w:hAnsi="Cambria Math" w:cs="Cambria Math"/>
          <w:color w:val="222222"/>
          <w:sz w:val="24"/>
          <w:szCs w:val="24"/>
          <w:shd w:val="clear" w:color="auto" w:fill="FFFFFF"/>
          <w:lang w:bidi="ar-SA"/>
        </w:rPr>
        <w:t>‐</w:t>
      </w:r>
      <w:proofErr w:type="spellStart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Rosell</w:t>
      </w:r>
      <w:proofErr w:type="spellEnd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A., Schoch, K., Sullivan, J., Cope, H., </w:t>
      </w:r>
      <w:proofErr w:type="spellStart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Spillmann</w:t>
      </w:r>
      <w:proofErr w:type="spellEnd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R., Palmer, C. G., ... &amp; Tan, K. G. (2019). The genome empowerment scale: An assessment of parental empowerment in families with undiagnosed disease. </w:t>
      </w:r>
      <w:r w:rsidRPr="0069794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Clinical Genetics</w:t>
      </w:r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69794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96</w:t>
      </w:r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(6), 521-531.</w:t>
      </w:r>
    </w:p>
    <w:p w14:paraId="17D24815" w14:textId="77777777" w:rsidR="00697948" w:rsidRPr="00697948" w:rsidRDefault="00697948" w:rsidP="00697948">
      <w:pPr>
        <w:pStyle w:val="ListParagraph"/>
        <w:tabs>
          <w:tab w:val="left" w:pos="990"/>
        </w:tabs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bidi="ar-SA"/>
        </w:rPr>
      </w:pPr>
    </w:p>
    <w:p w14:paraId="42852365" w14:textId="45B6FB44" w:rsidR="00026DE0" w:rsidRPr="00580D8B" w:rsidRDefault="00F43AB1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McDaniel, J.,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Woynaroski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T.,</w:t>
      </w:r>
      <w:r w:rsidR="00CD42A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proofErr w:type="spellStart"/>
      <w:r w:rsidR="00CD42A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Keceli-Kaysili</w:t>
      </w:r>
      <w:proofErr w:type="spellEnd"/>
      <w:r w:rsidR="00CD42A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B., Watson, L.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R., &amp; Yoder, P. (2019). Vocal communication with canonical syllables predicts later expressive language skills i</w:t>
      </w:r>
      <w:r w:rsidR="00CD42A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n preschool-aged children with Autism Spectrum D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isorder.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Journal of Speech, Language, and Hearing Research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62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(10), 3826-3833.</w:t>
      </w:r>
    </w:p>
    <w:p w14:paraId="180C9B71" w14:textId="77777777" w:rsidR="00580D8B" w:rsidRPr="00580D8B" w:rsidRDefault="00580D8B" w:rsidP="003521D9">
      <w:p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159CA945" w14:textId="6278D12B" w:rsidR="00026DE0" w:rsidRPr="00580D8B" w:rsidRDefault="00705CE8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Nowell, S.W., Watson, L.R., Boyd, B., &amp; Klinger, L.G. (2019). Efficacy study of a social communication and self-regulation intervention for school-age children w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th Autism Spectrum Disorder: A randomized controlled t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rial.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Language, Speech, and Hearing Services in S</w:t>
      </w:r>
      <w:r w:rsidR="00026DE0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chools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026DE0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50</w:t>
      </w:r>
      <w:r w:rsidR="00026DE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(3), 416-433.</w:t>
      </w:r>
    </w:p>
    <w:p w14:paraId="00C5BA96" w14:textId="77777777" w:rsidR="00D5072B" w:rsidRPr="00580D8B" w:rsidRDefault="00D5072B" w:rsidP="005B67F5">
      <w:pPr>
        <w:tabs>
          <w:tab w:val="left" w:pos="990"/>
        </w:tabs>
        <w:spacing w:after="0" w:line="240" w:lineRule="auto"/>
        <w:ind w:left="900" w:hanging="540"/>
        <w:rPr>
          <w:rFonts w:ascii="Arial" w:eastAsia="Times New Roman" w:hAnsi="Arial" w:cs="Arial"/>
          <w:sz w:val="24"/>
          <w:szCs w:val="24"/>
          <w:lang w:bidi="ar-SA"/>
        </w:rPr>
      </w:pPr>
    </w:p>
    <w:p w14:paraId="6CEBF826" w14:textId="5736A632" w:rsidR="002B41A6" w:rsidRPr="00580D8B" w:rsidRDefault="00705CE8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Palmer, W.E., &amp; Mercer, V.</w:t>
      </w:r>
      <w:r w:rsidR="00D5072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S. (2019). Effects of the Matter of Balance Program on self-reported physical activity in community-dwelling older adults. </w:t>
      </w:r>
      <w:r w:rsidR="004644E7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Gerontology and Geriatric M</w:t>
      </w:r>
      <w:r w:rsidR="00D5072B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edicine</w:t>
      </w:r>
      <w:r w:rsidR="00D5072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D5072B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5</w:t>
      </w:r>
      <w:r w:rsidR="00D5072B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2333721419880698.</w:t>
      </w:r>
      <w:r w:rsidR="00DD577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339BB447" w14:textId="061325A1" w:rsidR="002B41A6" w:rsidRPr="00580D8B" w:rsidRDefault="00DD5778" w:rsidP="00E81601">
      <w:pPr>
        <w:pStyle w:val="ListParagraph"/>
        <w:numPr>
          <w:ilvl w:val="0"/>
          <w:numId w:val="8"/>
        </w:numPr>
        <w:tabs>
          <w:tab w:val="left" w:pos="990"/>
        </w:tabs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Park, J.,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lang w:bidi="ar-SA"/>
        </w:rPr>
        <w:t>Estrem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H.,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lang w:bidi="ar-SA"/>
        </w:rPr>
        <w:t>Thoyre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S., &amp;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lang w:bidi="ar-SA"/>
        </w:rPr>
        <w:t>McComish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, C. (2020). Taking an inventory on pediatric feeding disorder research: What is missing? </w:t>
      </w:r>
      <w:r w:rsidRPr="00580D8B">
        <w:rPr>
          <w:rFonts w:ascii="Arial" w:eastAsia="Times New Roman" w:hAnsi="Arial" w:cs="Arial"/>
          <w:i/>
          <w:color w:val="000000"/>
          <w:sz w:val="24"/>
          <w:szCs w:val="24"/>
          <w:lang w:bidi="ar-SA"/>
        </w:rPr>
        <w:t>Nursing Research</w:t>
      </w:r>
      <w:r w:rsidRPr="00580D8B">
        <w:rPr>
          <w:rFonts w:ascii="Arial" w:eastAsia="Times New Roman" w:hAnsi="Arial" w:cs="Arial"/>
          <w:color w:val="000000"/>
          <w:sz w:val="24"/>
          <w:szCs w:val="24"/>
          <w:lang w:bidi="ar-SA"/>
        </w:rPr>
        <w:t>, 69 (3), E150-E150.</w:t>
      </w:r>
      <w:r w:rsidR="00D145AF" w:rsidRPr="00580D8B">
        <w:rPr>
          <w:rFonts w:ascii="Arial" w:eastAsia="Times New Roman" w:hAnsi="Arial" w:cs="Arial"/>
          <w:color w:val="000000"/>
          <w:sz w:val="24"/>
          <w:szCs w:val="24"/>
          <w:lang w:bidi="ar-SA"/>
        </w:rPr>
        <w:br/>
      </w:r>
    </w:p>
    <w:p w14:paraId="0EC37C5A" w14:textId="280EE868" w:rsidR="00E51E4D" w:rsidRPr="00580D8B" w:rsidRDefault="00F43AB1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Pergolotti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M.,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Bailliard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A., McCarthy</w:t>
      </w:r>
      <w:r w:rsidR="004644E7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L., Farley, E., Covington, K.R., &amp; Doll, K.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M. (2020). Women’s experiences after ovarian cancer surgery: Distress, uncertainty, and the need for 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lastRenderedPageBreak/>
        <w:t>occupational therapy.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American Journal of Occupational Therapy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74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(3), 7403205140p1-7403205140p9.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4551970B" w14:textId="65994205" w:rsidR="00901127" w:rsidRPr="00580D8B" w:rsidRDefault="004644E7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Pieper, N.</w:t>
      </w:r>
      <w:r w:rsidR="00141C47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L., </w:t>
      </w:r>
      <w:proofErr w:type="spellStart"/>
      <w:r w:rsidR="00141C47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Lewek</w:t>
      </w:r>
      <w:proofErr w:type="spellEnd"/>
      <w:r w:rsidR="00141C47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M.D., &amp; Franz, J.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R. (2020). Can shank acceleration provide a clinically feasible surrogate for individual limb propulsion during </w:t>
      </w:r>
      <w:proofErr w:type="gramStart"/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walking?.</w:t>
      </w:r>
      <w:proofErr w:type="gramEnd"/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 </w:t>
      </w:r>
      <w:r w:rsidR="00F43AB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Journal of Biomechanics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F43AB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98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109449.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3019F88E" w14:textId="2549F876" w:rsidR="002B41A6" w:rsidRPr="00580D8B" w:rsidRDefault="00141C47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hAnsi="Arial" w:cs="Arial"/>
          <w:sz w:val="24"/>
          <w:szCs w:val="24"/>
        </w:rPr>
        <w:t>Quatman</w:t>
      </w:r>
      <w:proofErr w:type="spellEnd"/>
      <w:r w:rsidRPr="00580D8B">
        <w:rPr>
          <w:rFonts w:ascii="Arial" w:hAnsi="Arial" w:cs="Arial"/>
          <w:sz w:val="24"/>
          <w:szCs w:val="24"/>
        </w:rPr>
        <w:t xml:space="preserve">-Yates, </w:t>
      </w:r>
      <w:r w:rsidR="00A50640" w:rsidRPr="00580D8B">
        <w:rPr>
          <w:rFonts w:ascii="Arial" w:hAnsi="Arial" w:cs="Arial"/>
          <w:sz w:val="24"/>
          <w:szCs w:val="24"/>
        </w:rPr>
        <w:t>C</w:t>
      </w:r>
      <w:r w:rsidRPr="00580D8B">
        <w:rPr>
          <w:rFonts w:ascii="Arial" w:hAnsi="Arial" w:cs="Arial"/>
          <w:sz w:val="24"/>
          <w:szCs w:val="24"/>
        </w:rPr>
        <w:t>.</w:t>
      </w:r>
      <w:r w:rsidR="00A50640" w:rsidRPr="00580D8B">
        <w:rPr>
          <w:rFonts w:ascii="Arial" w:hAnsi="Arial" w:cs="Arial"/>
          <w:sz w:val="24"/>
          <w:szCs w:val="24"/>
        </w:rPr>
        <w:t>C</w:t>
      </w:r>
      <w:r w:rsidRPr="00580D8B">
        <w:rPr>
          <w:rFonts w:ascii="Arial" w:hAnsi="Arial" w:cs="Arial"/>
          <w:sz w:val="24"/>
          <w:szCs w:val="24"/>
        </w:rPr>
        <w:t>.</w:t>
      </w:r>
      <w:r w:rsidR="00A50640" w:rsidRPr="00580D8B">
        <w:rPr>
          <w:rFonts w:ascii="Arial" w:hAnsi="Arial" w:cs="Arial"/>
          <w:sz w:val="24"/>
          <w:szCs w:val="24"/>
        </w:rPr>
        <w:t>, Hunter-Giordan</w:t>
      </w:r>
      <w:r w:rsidR="006C0CC8" w:rsidRPr="00580D8B">
        <w:rPr>
          <w:rFonts w:ascii="Arial" w:hAnsi="Arial" w:cs="Arial"/>
          <w:sz w:val="24"/>
          <w:szCs w:val="24"/>
        </w:rPr>
        <w:t xml:space="preserve">o, </w:t>
      </w:r>
      <w:r w:rsidR="00A50640" w:rsidRPr="00580D8B">
        <w:rPr>
          <w:rFonts w:ascii="Arial" w:hAnsi="Arial" w:cs="Arial"/>
          <w:sz w:val="24"/>
          <w:szCs w:val="24"/>
        </w:rPr>
        <w:t>A</w:t>
      </w:r>
      <w:r w:rsidR="006C0CC8" w:rsidRPr="00580D8B">
        <w:rPr>
          <w:rFonts w:ascii="Arial" w:hAnsi="Arial" w:cs="Arial"/>
          <w:sz w:val="24"/>
          <w:szCs w:val="24"/>
        </w:rPr>
        <w:t xml:space="preserve">., Shimamura, </w:t>
      </w:r>
      <w:r w:rsidR="00A50640" w:rsidRPr="00580D8B">
        <w:rPr>
          <w:rFonts w:ascii="Arial" w:hAnsi="Arial" w:cs="Arial"/>
          <w:sz w:val="24"/>
          <w:szCs w:val="24"/>
        </w:rPr>
        <w:t>K</w:t>
      </w:r>
      <w:r w:rsidR="006C0CC8" w:rsidRPr="00580D8B">
        <w:rPr>
          <w:rFonts w:ascii="Arial" w:hAnsi="Arial" w:cs="Arial"/>
          <w:sz w:val="24"/>
          <w:szCs w:val="24"/>
        </w:rPr>
        <w:t>.</w:t>
      </w:r>
      <w:r w:rsidR="00A50640" w:rsidRPr="00580D8B">
        <w:rPr>
          <w:rFonts w:ascii="Arial" w:hAnsi="Arial" w:cs="Arial"/>
          <w:sz w:val="24"/>
          <w:szCs w:val="24"/>
        </w:rPr>
        <w:t>K</w:t>
      </w:r>
      <w:r w:rsidR="006C0CC8" w:rsidRPr="00580D8B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6C0CC8" w:rsidRPr="00580D8B">
        <w:rPr>
          <w:rFonts w:ascii="Arial" w:hAnsi="Arial" w:cs="Arial"/>
          <w:sz w:val="24"/>
          <w:szCs w:val="24"/>
        </w:rPr>
        <w:t>Landel</w:t>
      </w:r>
      <w:proofErr w:type="spellEnd"/>
      <w:r w:rsidR="006C0CC8" w:rsidRPr="00580D8B">
        <w:rPr>
          <w:rFonts w:ascii="Arial" w:hAnsi="Arial" w:cs="Arial"/>
          <w:sz w:val="24"/>
          <w:szCs w:val="24"/>
        </w:rPr>
        <w:t xml:space="preserve">, </w:t>
      </w:r>
      <w:r w:rsidR="00A50640" w:rsidRPr="00580D8B">
        <w:rPr>
          <w:rFonts w:ascii="Arial" w:hAnsi="Arial" w:cs="Arial"/>
          <w:sz w:val="24"/>
          <w:szCs w:val="24"/>
        </w:rPr>
        <w:t>R</w:t>
      </w:r>
      <w:r w:rsidR="006C0CC8" w:rsidRPr="00580D8B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6C0CC8" w:rsidRPr="00580D8B">
        <w:rPr>
          <w:rFonts w:ascii="Arial" w:hAnsi="Arial" w:cs="Arial"/>
          <w:sz w:val="24"/>
          <w:szCs w:val="24"/>
        </w:rPr>
        <w:t>Alsalaheen</w:t>
      </w:r>
      <w:proofErr w:type="spellEnd"/>
      <w:r w:rsidR="006C0CC8" w:rsidRPr="00580D8B">
        <w:rPr>
          <w:rFonts w:ascii="Arial" w:hAnsi="Arial" w:cs="Arial"/>
          <w:sz w:val="24"/>
          <w:szCs w:val="24"/>
        </w:rPr>
        <w:t xml:space="preserve">, </w:t>
      </w:r>
      <w:r w:rsidR="00A50640" w:rsidRPr="00580D8B">
        <w:rPr>
          <w:rFonts w:ascii="Arial" w:hAnsi="Arial" w:cs="Arial"/>
          <w:sz w:val="24"/>
          <w:szCs w:val="24"/>
        </w:rPr>
        <w:t>B</w:t>
      </w:r>
      <w:r w:rsidR="006C0CC8" w:rsidRPr="00580D8B">
        <w:rPr>
          <w:rFonts w:ascii="Arial" w:hAnsi="Arial" w:cs="Arial"/>
          <w:sz w:val="24"/>
          <w:szCs w:val="24"/>
        </w:rPr>
        <w:t>.</w:t>
      </w:r>
      <w:r w:rsidR="00A50640" w:rsidRPr="00580D8B">
        <w:rPr>
          <w:rFonts w:ascii="Arial" w:hAnsi="Arial" w:cs="Arial"/>
          <w:sz w:val="24"/>
          <w:szCs w:val="24"/>
        </w:rPr>
        <w:t>A</w:t>
      </w:r>
      <w:r w:rsidR="006C0CC8" w:rsidRPr="00580D8B">
        <w:rPr>
          <w:rFonts w:ascii="Arial" w:hAnsi="Arial" w:cs="Arial"/>
          <w:sz w:val="24"/>
          <w:szCs w:val="24"/>
        </w:rPr>
        <w:t xml:space="preserve">., Hanke, </w:t>
      </w:r>
      <w:r w:rsidR="00A50640" w:rsidRPr="00580D8B">
        <w:rPr>
          <w:rFonts w:ascii="Arial" w:hAnsi="Arial" w:cs="Arial"/>
          <w:sz w:val="24"/>
          <w:szCs w:val="24"/>
        </w:rPr>
        <w:t>T</w:t>
      </w:r>
      <w:r w:rsidR="006C0CC8" w:rsidRPr="00580D8B">
        <w:rPr>
          <w:rFonts w:ascii="Arial" w:hAnsi="Arial" w:cs="Arial"/>
          <w:sz w:val="24"/>
          <w:szCs w:val="24"/>
        </w:rPr>
        <w:t>.</w:t>
      </w:r>
      <w:r w:rsidR="00A50640" w:rsidRPr="00580D8B">
        <w:rPr>
          <w:rFonts w:ascii="Arial" w:hAnsi="Arial" w:cs="Arial"/>
          <w:sz w:val="24"/>
          <w:szCs w:val="24"/>
        </w:rPr>
        <w:t>A</w:t>
      </w:r>
      <w:r w:rsidR="006C0CC8" w:rsidRPr="00580D8B">
        <w:rPr>
          <w:rFonts w:ascii="Arial" w:hAnsi="Arial" w:cs="Arial"/>
          <w:sz w:val="24"/>
          <w:szCs w:val="24"/>
        </w:rPr>
        <w:t xml:space="preserve">., McCulloch, </w:t>
      </w:r>
      <w:r w:rsidR="00A50640" w:rsidRPr="00580D8B">
        <w:rPr>
          <w:rFonts w:ascii="Arial" w:hAnsi="Arial" w:cs="Arial"/>
          <w:sz w:val="24"/>
          <w:szCs w:val="24"/>
        </w:rPr>
        <w:t>K</w:t>
      </w:r>
      <w:r w:rsidR="006C0CC8" w:rsidRPr="00580D8B">
        <w:rPr>
          <w:rFonts w:ascii="Arial" w:hAnsi="Arial" w:cs="Arial"/>
          <w:sz w:val="24"/>
          <w:szCs w:val="24"/>
        </w:rPr>
        <w:t>.</w:t>
      </w:r>
      <w:r w:rsidR="00A50640" w:rsidRPr="00580D8B">
        <w:rPr>
          <w:rFonts w:ascii="Arial" w:hAnsi="Arial" w:cs="Arial"/>
          <w:sz w:val="24"/>
          <w:szCs w:val="24"/>
        </w:rPr>
        <w:t>L</w:t>
      </w:r>
      <w:r w:rsidR="004A4A9B" w:rsidRPr="00580D8B">
        <w:rPr>
          <w:rFonts w:ascii="Arial" w:hAnsi="Arial" w:cs="Arial"/>
          <w:sz w:val="24"/>
          <w:szCs w:val="24"/>
        </w:rPr>
        <w:t>, ..</w:t>
      </w:r>
      <w:r w:rsidR="006C0CC8" w:rsidRPr="00580D8B">
        <w:rPr>
          <w:rFonts w:ascii="Arial" w:hAnsi="Arial" w:cs="Arial"/>
          <w:sz w:val="24"/>
          <w:szCs w:val="24"/>
        </w:rPr>
        <w:t>.</w:t>
      </w:r>
      <w:r w:rsidR="00A50640" w:rsidRPr="00580D8B">
        <w:rPr>
          <w:rFonts w:ascii="Arial" w:hAnsi="Arial" w:cs="Arial"/>
          <w:sz w:val="24"/>
          <w:szCs w:val="24"/>
        </w:rPr>
        <w:t xml:space="preserve"> </w:t>
      </w:r>
      <w:r w:rsidR="006C0CC8" w:rsidRPr="00580D8B">
        <w:rPr>
          <w:rFonts w:ascii="Arial" w:hAnsi="Arial" w:cs="Arial"/>
          <w:sz w:val="24"/>
          <w:szCs w:val="24"/>
        </w:rPr>
        <w:t xml:space="preserve">&amp; Silverberg, </w:t>
      </w:r>
      <w:r w:rsidR="00A50640" w:rsidRPr="00580D8B">
        <w:rPr>
          <w:rFonts w:ascii="Arial" w:hAnsi="Arial" w:cs="Arial"/>
          <w:sz w:val="24"/>
          <w:szCs w:val="24"/>
        </w:rPr>
        <w:t>N.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(2020). </w:t>
      </w:r>
      <w:r w:rsidR="006C0CC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Physical therapy evaluation and treatment after concussion/m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ild Tr</w:t>
      </w:r>
      <w:r w:rsidR="006C0CC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aumatic Brain Injury: Clinical practice guidelines l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inked to the International Classification of Func</w:t>
      </w:r>
      <w:r w:rsidR="006C0CC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tioning, Disability and Health f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rom the Academy of </w:t>
      </w:r>
      <w:proofErr w:type="spellStart"/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Orthopaedic</w:t>
      </w:r>
      <w:proofErr w:type="spellEnd"/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Physical Therapy of the American Physical Therapy Association. </w:t>
      </w:r>
      <w:r w:rsidR="00F43AB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 xml:space="preserve">Journal of </w:t>
      </w:r>
      <w:proofErr w:type="spellStart"/>
      <w:r w:rsidR="00F43AB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Orthopaedic</w:t>
      </w:r>
      <w:proofErr w:type="spellEnd"/>
      <w:r w:rsidR="00F43AB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 xml:space="preserve"> &amp; Sports Physical Therapy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F43AB1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50</w:t>
      </w:r>
      <w:r w:rsidR="00F43AB1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(4), CPG1-CPG73.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2A3793FA" w14:textId="36F00080" w:rsidR="00656383" w:rsidRPr="00C970D2" w:rsidRDefault="00F43AB1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Quick, N., Roush, J., Erick</w:t>
      </w:r>
      <w:r w:rsidR="006C0CC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son, K., &amp; Mundy, M. (2020). A h</w:t>
      </w:r>
      <w:r w:rsidR="00970520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earing screening pilot study with students with significant cognitive d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isabilities.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Language, Speech, and Hearing Services in Schools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51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(2), 494-503.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0C622989" w14:textId="2CE03706" w:rsidR="0093052D" w:rsidRPr="0093052D" w:rsidRDefault="00353F40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Regis</w:t>
      </w:r>
      <w:r w:rsidR="004A4A9B"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ter-Mihalik, J., </w:t>
      </w:r>
      <w:proofErr w:type="spellStart"/>
      <w:r w:rsidR="004A4A9B"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Guskiewicz</w:t>
      </w:r>
      <w:proofErr w:type="spellEnd"/>
      <w:r w:rsidR="004A4A9B"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, K.</w:t>
      </w:r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M., Marshall,</w:t>
      </w:r>
      <w:r w:rsidR="004A4A9B"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S., McCulloch, K., Mihalik, J.</w:t>
      </w:r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P.,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Mrazik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, M., ... &amp;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Gildner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, P. (2019). Methodology and implementation of a randomized controlled trial (RCT) for early r</w:t>
      </w:r>
      <w:r w:rsidR="004A4A9B"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ehabilitation post-concussion: T</w:t>
      </w:r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he active rehab study. </w:t>
      </w:r>
      <w:r w:rsidR="004A4A9B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lang w:bidi="ar-SA"/>
        </w:rPr>
        <w:t>Frontiers in N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lang w:bidi="ar-SA"/>
        </w:rPr>
        <w:t>eurology</w:t>
      </w:r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lang w:bidi="ar-SA"/>
        </w:rPr>
        <w:t>10</w:t>
      </w:r>
      <w:r w:rsidRPr="00580D8B">
        <w:rPr>
          <w:rFonts w:ascii="Arial" w:eastAsia="Times New Roman" w:hAnsi="Arial" w:cs="Arial"/>
          <w:color w:val="222222"/>
          <w:sz w:val="24"/>
          <w:szCs w:val="24"/>
          <w:lang w:bidi="ar-SA"/>
        </w:rPr>
        <w:t>, 1176.</w:t>
      </w:r>
      <w:r w:rsidR="0093052D">
        <w:rPr>
          <w:rFonts w:ascii="Arial" w:eastAsia="Times New Roman" w:hAnsi="Arial" w:cs="Arial"/>
          <w:color w:val="222222"/>
          <w:sz w:val="24"/>
          <w:szCs w:val="24"/>
          <w:lang w:bidi="ar-SA"/>
        </w:rPr>
        <w:br/>
      </w:r>
    </w:p>
    <w:p w14:paraId="1013FEC4" w14:textId="2B28B989" w:rsidR="0093052D" w:rsidRPr="0093052D" w:rsidRDefault="0093052D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sz w:val="24"/>
          <w:szCs w:val="24"/>
          <w:lang w:bidi="ar-SA"/>
        </w:rPr>
      </w:pPr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Richards, J., Nazareth, M., van Tilburg, M. A., Jain, N., Hart, L., </w:t>
      </w:r>
      <w:proofErr w:type="spellStart"/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Faldowski</w:t>
      </w:r>
      <w:proofErr w:type="spellEnd"/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R. A., ... &amp; </w:t>
      </w:r>
      <w:proofErr w:type="spellStart"/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Rak</w:t>
      </w:r>
      <w:proofErr w:type="spellEnd"/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E. (2020). Engagement in Household Chores in Youth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w</w:t>
      </w:r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ith Chronic Conditions: Health care Transition Implications. </w:t>
      </w:r>
      <w:r w:rsidRPr="0093052D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OTJR: Occupation, Participation and Health</w:t>
      </w:r>
      <w:r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1539449220928142.</w:t>
      </w:r>
    </w:p>
    <w:p w14:paraId="41EB64B6" w14:textId="77777777" w:rsidR="0093052D" w:rsidRPr="0093052D" w:rsidRDefault="0093052D" w:rsidP="0093052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8B28A47" w14:textId="656EDD66" w:rsidR="0093052D" w:rsidRPr="0093052D" w:rsidRDefault="003A1629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Rowland, D.M., Murphy, A.A.,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Manik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H.R., Lane, C.Y., Givens, D.</w:t>
      </w:r>
      <w:r w:rsidR="002510AD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L., Cook, C.E., &amp; Garcia, A.</w:t>
      </w:r>
      <w:r w:rsidR="00CC4C5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N. (2020). Predictors of research productivity among physical therapy programs in the United States: An observational study. </w:t>
      </w:r>
      <w:r w:rsidR="00CC4C58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BMC Medical Education</w:t>
      </w:r>
      <w:r w:rsidR="00CC4C5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CC4C58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20</w:t>
      </w:r>
      <w:r w:rsid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(1), 1-8.</w:t>
      </w:r>
      <w:r w:rsidR="0093052D" w:rsidRPr="0093052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5781C88A" w14:textId="52DDC24E" w:rsidR="00CA2812" w:rsidRPr="00CA2812" w:rsidRDefault="00CA2812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proofErr w:type="spellStart"/>
      <w:r w:rsidRP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Ruebner</w:t>
      </w:r>
      <w:proofErr w:type="spellEnd"/>
      <w:r w:rsidRP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R. L., Hooper, S. R., Parrish, C., Furth, S. L., &amp; </w:t>
      </w:r>
      <w:proofErr w:type="spellStart"/>
      <w:r w:rsidRP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Fadrowski</w:t>
      </w:r>
      <w:proofErr w:type="spellEnd"/>
      <w:r w:rsidRP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J. J. (2019). Environmental lead exposure is associated with neurocognitive dysfunction in children with chronic kidney disease. </w:t>
      </w:r>
      <w:r w:rsidRPr="00CA281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Pediatric Nephrology</w:t>
      </w:r>
      <w:r w:rsidRP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CA281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34</w:t>
      </w:r>
      <w:r w:rsidRP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(11), 2371-2379.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78AF6D90" w14:textId="305C9899" w:rsidR="00CA2812" w:rsidRDefault="00CA2812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r w:rsidRP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Santos Jr HP, Bhattacharya A, Martin EM, Addo K, </w:t>
      </w:r>
      <w:proofErr w:type="spellStart"/>
      <w:r w:rsidRP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Psioda</w:t>
      </w:r>
      <w:proofErr w:type="spellEnd"/>
      <w:r w:rsidRP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M, </w:t>
      </w:r>
      <w:proofErr w:type="spellStart"/>
      <w:r w:rsidRP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Smeester</w:t>
      </w:r>
      <w:proofErr w:type="spellEnd"/>
      <w:r w:rsidRP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L, Joseph RM, Hooper SR, Frazier JA, Kuban KC, O’Shea TM. Epigenome-wide DNA methylation in placentas from preterm infants: association with maternal socioeconomic status. Epigenetics. 2019 Aug 3;14(8):751-65.</w:t>
      </w:r>
    </w:p>
    <w:p w14:paraId="6B56E040" w14:textId="77777777" w:rsidR="00CA2812" w:rsidRPr="00CA2812" w:rsidRDefault="00CA2812" w:rsidP="00CA2812">
      <w:pPr>
        <w:pStyle w:val="ListParagraph"/>
        <w:tabs>
          <w:tab w:val="left" w:pos="990"/>
        </w:tabs>
        <w:ind w:left="90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5CAFB724" w14:textId="4CE2745E" w:rsidR="00FF59C2" w:rsidRPr="004A3D96" w:rsidRDefault="002676B6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Sc</w:t>
      </w:r>
      <w:r w:rsidR="001701B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ronce</w:t>
      </w:r>
      <w:proofErr w:type="spellEnd"/>
      <w:r w:rsidR="001701B4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G., Zhang, W., Smith, M.L., &amp; Mercer, V.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S. (2020). Characteristics associated with improved physical performance among community-dwelling older adults in a community-based falls prevention program.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Internationa</w:t>
      </w:r>
      <w:r w:rsidR="001701B4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l Journal of Environmental Research and Public H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ealth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17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(7), 2509.</w:t>
      </w:r>
      <w:r w:rsidR="00D145AF" w:rsidRPr="004A3D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331E91BC" w14:textId="7E58F45D" w:rsidR="00697948" w:rsidRPr="00697948" w:rsidRDefault="00697948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</w:pPr>
      <w:proofErr w:type="spellStart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Sgambat</w:t>
      </w:r>
      <w:proofErr w:type="spellEnd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K., Matheson, M. B., Hooper, S. R., </w:t>
      </w:r>
      <w:proofErr w:type="spellStart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Warady</w:t>
      </w:r>
      <w:proofErr w:type="spellEnd"/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B., Furth, S., &amp; Moudgil, A. (2019). Prevalence and outcomes of fragility: a frailty-inflammation phenotype in children with </w:t>
      </w:r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lastRenderedPageBreak/>
        <w:t>chronic kidney disease. </w:t>
      </w:r>
      <w:r w:rsidRPr="0069794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Pediatric Nephrology</w:t>
      </w:r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697948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34</w:t>
      </w:r>
      <w:r w:rsidRPr="006979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(12), 2563-2569.</w:t>
      </w:r>
      <w:r w:rsidR="00CA281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11D93AFE" w14:textId="0EA75F4D" w:rsidR="002B41A6" w:rsidRPr="004A3D96" w:rsidRDefault="00AD246C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Silverberg, N.</w:t>
      </w:r>
      <w:r w:rsidR="0065638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D., </w:t>
      </w:r>
      <w:proofErr w:type="spellStart"/>
      <w:r w:rsidR="0065638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Iaccarino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M.A., Panenka, W.J., Iverson, G.L., McCulloch, K.</w:t>
      </w:r>
      <w:r w:rsidR="0065638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L., Dams-O’Connor, K., ... &amp; </w:t>
      </w:r>
      <w:proofErr w:type="spellStart"/>
      <w:r w:rsidR="0065638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Kajan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kova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M. (2020). Management of concussion and mild Traumatic Brain Injury: A synthesis of practice g</w:t>
      </w:r>
      <w:r w:rsidR="0065638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uidelines. </w:t>
      </w:r>
      <w:r w:rsidR="00656383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Archives of Physical Medicine and Rehabilitation</w:t>
      </w:r>
      <w:r w:rsidR="0065638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="00656383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101</w:t>
      </w:r>
      <w:r w:rsidR="00656383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(2), 382-393.</w:t>
      </w:r>
      <w:r w:rsidR="00D145AF" w:rsidRPr="004A3D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1958FF5E" w14:textId="158BC5B7" w:rsidR="00B92AE4" w:rsidRPr="00B92AE4" w:rsidRDefault="00B92AE4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Tran AH, Flynn JT, Becker RC, Daniels SR, Falkner BE, Ferguson M, </w:t>
      </w:r>
      <w:proofErr w:type="spellStart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Hanevold</w:t>
      </w:r>
      <w:proofErr w:type="spellEnd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CD, Hooper SR, </w:t>
      </w:r>
      <w:proofErr w:type="spellStart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Ingelfinger</w:t>
      </w:r>
      <w:proofErr w:type="spellEnd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JR, </w:t>
      </w:r>
      <w:proofErr w:type="spellStart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Lande</w:t>
      </w:r>
      <w:proofErr w:type="spellEnd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MB, Martin LJ, Meyers K, </w:t>
      </w:r>
      <w:proofErr w:type="spellStart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Mitsnefes</w:t>
      </w:r>
      <w:proofErr w:type="spellEnd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M, Rosner B, Samuels JA, Urbina EM. Subclinical Systolic and Diastolic Dysfunction Is Evident in Youth </w:t>
      </w:r>
      <w:proofErr w:type="gramStart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With</w:t>
      </w:r>
      <w:proofErr w:type="gramEnd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Elevated Blood Pressure. Hypertension. 2020 Jun;75(6):1551-1556. </w:t>
      </w:r>
      <w:proofErr w:type="spellStart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doi</w:t>
      </w:r>
      <w:proofErr w:type="spellEnd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: 10.1161/HYPERTENSIONAHA.119.14682. </w:t>
      </w:r>
      <w:proofErr w:type="spellStart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Epub</w:t>
      </w:r>
      <w:proofErr w:type="spellEnd"/>
      <w:r w:rsidRPr="00B92AE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2020 May 4. PMID: 32362230; PMCID: PMC7266265.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br/>
      </w:r>
    </w:p>
    <w:p w14:paraId="1A335785" w14:textId="31649EAF" w:rsidR="00CA2812" w:rsidRPr="00CA2812" w:rsidRDefault="00CA2812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CA28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Urbina EM, </w:t>
      </w:r>
      <w:proofErr w:type="spellStart"/>
      <w:r w:rsidRPr="00CA28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Mendizabal</w:t>
      </w:r>
      <w:proofErr w:type="spellEnd"/>
      <w:r w:rsidRPr="00CA28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B, Becker RC, Daniels SR, Falkner BE, Hamdani G, </w:t>
      </w:r>
      <w:proofErr w:type="spellStart"/>
      <w:r w:rsidRPr="00CA28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Hanevold</w:t>
      </w:r>
      <w:proofErr w:type="spellEnd"/>
      <w:r w:rsidRPr="00CA28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C, Hooper SR, </w:t>
      </w:r>
      <w:proofErr w:type="spellStart"/>
      <w:r w:rsidRPr="00CA28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Ingelfinger</w:t>
      </w:r>
      <w:proofErr w:type="spellEnd"/>
      <w:r w:rsidRPr="00CA28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JR, </w:t>
      </w:r>
      <w:proofErr w:type="spellStart"/>
      <w:r w:rsidRPr="00CA28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Lanade</w:t>
      </w:r>
      <w:proofErr w:type="spellEnd"/>
      <w:r w:rsidRPr="00CA28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M, Martin LJ. Association of Blood Pressure Level </w:t>
      </w:r>
      <w:proofErr w:type="gramStart"/>
      <w:r w:rsidRPr="00CA28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With</w:t>
      </w:r>
      <w:proofErr w:type="gramEnd"/>
      <w:r w:rsidRPr="00CA281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Left Ventricular Mass in Adolescents: SHIP AHOY. Hypertension. 2019 Sep;74(3):590-6.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br/>
      </w:r>
    </w:p>
    <w:p w14:paraId="72550911" w14:textId="030FBC8C" w:rsidR="00C27AEA" w:rsidRPr="00580D8B" w:rsidRDefault="004F7D9F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van der Slot,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W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Benner,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J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L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Brunton,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L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K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Engel,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J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Philip,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G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Hilberink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S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R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proofErr w:type="spellStart"/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Månum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G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Morgan,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P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Opheim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A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proofErr w:type="spellStart"/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Ro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dby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-Bousquet,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.,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Tülay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I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R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Şimşek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T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 Thorpe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D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… &amp;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Roebroeck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M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E.</w:t>
      </w:r>
      <w:r w:rsidR="0083723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(2020). Pain 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in adults with cerebral palsy: A</w:t>
      </w:r>
      <w:r w:rsidR="0083723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systematic review and meta-analysis of individual participant data. </w:t>
      </w:r>
      <w:r w:rsidR="00837238"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Annals of Physical and Rehabilitation Medicine</w:t>
      </w:r>
      <w:r w:rsidR="00837238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. 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Published February 15, 2020.</w:t>
      </w:r>
      <w:r w:rsidR="00837238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="00D145AF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br/>
      </w:r>
    </w:p>
    <w:p w14:paraId="4D2FC9BD" w14:textId="7FFB9FB0" w:rsidR="00C27AEA" w:rsidRPr="00580D8B" w:rsidRDefault="00C27AEA" w:rsidP="00E81601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Voinier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D.,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Neogi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T., Stefanik, J. J.,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Guermazi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 xml:space="preserve">, A., Roemer, F. W., </w:t>
      </w:r>
      <w:proofErr w:type="spellStart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Thoma</w:t>
      </w:r>
      <w:proofErr w:type="spellEnd"/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 L. M., ..</w:t>
      </w:r>
      <w:r w:rsidR="004F7D9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. &amp; White, D. K. (2020). Using cumulative load to e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xpl</w:t>
      </w:r>
      <w:r w:rsidR="004F7D9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ain how body mass index and daily walking relate to worsening knee cartilage damage over two y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ears: The MOST Study.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Arthritis &amp; Rheumatology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, </w:t>
      </w:r>
      <w:r w:rsidRPr="00580D8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bidi="ar-SA"/>
        </w:rPr>
        <w:t>72</w:t>
      </w:r>
      <w:r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t>(6), 957-965.</w:t>
      </w:r>
      <w:r w:rsidR="00D145AF" w:rsidRPr="00580D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bidi="ar-SA"/>
        </w:rPr>
        <w:br/>
      </w:r>
    </w:p>
    <w:p w14:paraId="2BB8556B" w14:textId="12F5F712" w:rsidR="0093052D" w:rsidRPr="0093052D" w:rsidRDefault="0093052D" w:rsidP="00E81601">
      <w:pPr>
        <w:pStyle w:val="ListParagraph"/>
        <w:numPr>
          <w:ilvl w:val="0"/>
          <w:numId w:val="8"/>
        </w:numPr>
        <w:tabs>
          <w:tab w:val="clear" w:pos="1080"/>
          <w:tab w:val="left" w:pos="990"/>
        </w:tabs>
        <w:rPr>
          <w:rFonts w:ascii="Arial" w:hAnsi="Arial" w:cs="Arial"/>
          <w:sz w:val="24"/>
          <w:szCs w:val="24"/>
        </w:rPr>
      </w:pPr>
      <w:r w:rsidRPr="0093052D">
        <w:rPr>
          <w:rFonts w:ascii="Arial" w:hAnsi="Arial" w:cs="Arial"/>
          <w:sz w:val="24"/>
          <w:szCs w:val="24"/>
        </w:rPr>
        <w:t>Yokoyama, J. S., Matsuda-</w:t>
      </w:r>
      <w:proofErr w:type="spellStart"/>
      <w:r w:rsidRPr="0093052D">
        <w:rPr>
          <w:rFonts w:ascii="Arial" w:hAnsi="Arial" w:cs="Arial"/>
          <w:sz w:val="24"/>
          <w:szCs w:val="24"/>
        </w:rPr>
        <w:t>Abedini</w:t>
      </w:r>
      <w:proofErr w:type="spellEnd"/>
      <w:r w:rsidRPr="0093052D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93052D">
        <w:rPr>
          <w:rFonts w:ascii="Arial" w:hAnsi="Arial" w:cs="Arial"/>
          <w:sz w:val="24"/>
          <w:szCs w:val="24"/>
        </w:rPr>
        <w:t>Denburg</w:t>
      </w:r>
      <w:proofErr w:type="spellEnd"/>
      <w:r w:rsidRPr="0093052D">
        <w:rPr>
          <w:rFonts w:ascii="Arial" w:hAnsi="Arial" w:cs="Arial"/>
          <w:sz w:val="24"/>
          <w:szCs w:val="24"/>
        </w:rPr>
        <w:t xml:space="preserve">, M. R., Kumar, J., </w:t>
      </w:r>
      <w:proofErr w:type="spellStart"/>
      <w:r w:rsidRPr="0093052D">
        <w:rPr>
          <w:rFonts w:ascii="Arial" w:hAnsi="Arial" w:cs="Arial"/>
          <w:sz w:val="24"/>
          <w:szCs w:val="24"/>
        </w:rPr>
        <w:t>Warady</w:t>
      </w:r>
      <w:proofErr w:type="spellEnd"/>
      <w:r w:rsidRPr="0093052D">
        <w:rPr>
          <w:rFonts w:ascii="Arial" w:hAnsi="Arial" w:cs="Arial"/>
          <w:sz w:val="24"/>
          <w:szCs w:val="24"/>
        </w:rPr>
        <w:t xml:space="preserve">, B. A., Furth, S. L., ... &amp; </w:t>
      </w:r>
      <w:proofErr w:type="spellStart"/>
      <w:r w:rsidRPr="0093052D">
        <w:rPr>
          <w:rFonts w:ascii="Arial" w:hAnsi="Arial" w:cs="Arial"/>
          <w:sz w:val="24"/>
          <w:szCs w:val="24"/>
        </w:rPr>
        <w:t>Perwad</w:t>
      </w:r>
      <w:proofErr w:type="spellEnd"/>
      <w:r w:rsidRPr="0093052D">
        <w:rPr>
          <w:rFonts w:ascii="Arial" w:hAnsi="Arial" w:cs="Arial"/>
          <w:sz w:val="24"/>
          <w:szCs w:val="24"/>
        </w:rPr>
        <w:t>, F. (2020). Association Between Chronic Kidney Disease–Mineral Bone Disease (CKD-MBD) and Cognition in Children: Chronic Kidney Disease in Children (</w:t>
      </w:r>
      <w:proofErr w:type="spellStart"/>
      <w:r w:rsidRPr="0093052D">
        <w:rPr>
          <w:rFonts w:ascii="Arial" w:hAnsi="Arial" w:cs="Arial"/>
          <w:sz w:val="24"/>
          <w:szCs w:val="24"/>
        </w:rPr>
        <w:t>CKiD</w:t>
      </w:r>
      <w:proofErr w:type="spellEnd"/>
      <w:r w:rsidRPr="0093052D">
        <w:rPr>
          <w:rFonts w:ascii="Arial" w:hAnsi="Arial" w:cs="Arial"/>
          <w:sz w:val="24"/>
          <w:szCs w:val="24"/>
        </w:rPr>
        <w:t>) Study. </w:t>
      </w:r>
      <w:r w:rsidRPr="0093052D">
        <w:rPr>
          <w:rFonts w:ascii="Arial" w:hAnsi="Arial" w:cs="Arial"/>
          <w:i/>
          <w:iCs/>
          <w:sz w:val="24"/>
          <w:szCs w:val="24"/>
        </w:rPr>
        <w:t>Kidney Medicine</w:t>
      </w:r>
      <w:r w:rsidRPr="009305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67C12404" w14:textId="02A029C2" w:rsidR="00804C02" w:rsidRPr="00580D8B" w:rsidRDefault="004F7D9F" w:rsidP="00E81601">
      <w:pPr>
        <w:pStyle w:val="ListParagraph"/>
        <w:numPr>
          <w:ilvl w:val="0"/>
          <w:numId w:val="8"/>
        </w:num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580D8B">
        <w:rPr>
          <w:rFonts w:ascii="Arial" w:hAnsi="Arial" w:cs="Arial"/>
          <w:sz w:val="24"/>
          <w:szCs w:val="24"/>
        </w:rPr>
        <w:t xml:space="preserve">Zhang, </w:t>
      </w:r>
      <w:r w:rsidR="00E228C1" w:rsidRPr="00580D8B">
        <w:rPr>
          <w:rFonts w:ascii="Arial" w:hAnsi="Arial" w:cs="Arial"/>
          <w:sz w:val="24"/>
          <w:szCs w:val="24"/>
        </w:rPr>
        <w:t>W</w:t>
      </w:r>
      <w:r w:rsidRPr="00580D8B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80D8B">
        <w:rPr>
          <w:rFonts w:ascii="Arial" w:hAnsi="Arial" w:cs="Arial"/>
          <w:sz w:val="24"/>
          <w:szCs w:val="24"/>
        </w:rPr>
        <w:t>Chelminski</w:t>
      </w:r>
      <w:proofErr w:type="spellEnd"/>
      <w:r w:rsidRPr="00580D8B">
        <w:rPr>
          <w:rFonts w:ascii="Arial" w:hAnsi="Arial" w:cs="Arial"/>
          <w:sz w:val="24"/>
          <w:szCs w:val="24"/>
        </w:rPr>
        <w:t xml:space="preserve">, </w:t>
      </w:r>
      <w:r w:rsidR="00E228C1" w:rsidRPr="00580D8B">
        <w:rPr>
          <w:rFonts w:ascii="Arial" w:hAnsi="Arial" w:cs="Arial"/>
          <w:sz w:val="24"/>
          <w:szCs w:val="24"/>
        </w:rPr>
        <w:t>P</w:t>
      </w:r>
      <w:r w:rsidRPr="00580D8B">
        <w:rPr>
          <w:rFonts w:ascii="Arial" w:hAnsi="Arial" w:cs="Arial"/>
          <w:sz w:val="24"/>
          <w:szCs w:val="24"/>
        </w:rPr>
        <w:t>.</w:t>
      </w:r>
      <w:r w:rsidR="00E228C1" w:rsidRPr="00580D8B">
        <w:rPr>
          <w:rFonts w:ascii="Arial" w:hAnsi="Arial" w:cs="Arial"/>
          <w:sz w:val="24"/>
          <w:szCs w:val="24"/>
        </w:rPr>
        <w:t>R</w:t>
      </w:r>
      <w:r w:rsidRPr="00580D8B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580D8B">
        <w:rPr>
          <w:rFonts w:ascii="Arial" w:hAnsi="Arial" w:cs="Arial"/>
          <w:sz w:val="24"/>
          <w:szCs w:val="24"/>
        </w:rPr>
        <w:t>LaForett</w:t>
      </w:r>
      <w:proofErr w:type="spellEnd"/>
      <w:r w:rsidRPr="00580D8B">
        <w:rPr>
          <w:rFonts w:ascii="Arial" w:hAnsi="Arial" w:cs="Arial"/>
          <w:sz w:val="24"/>
          <w:szCs w:val="24"/>
        </w:rPr>
        <w:t xml:space="preserve">, </w:t>
      </w:r>
      <w:r w:rsidR="00E228C1" w:rsidRPr="00580D8B">
        <w:rPr>
          <w:rFonts w:ascii="Arial" w:hAnsi="Arial" w:cs="Arial"/>
          <w:sz w:val="24"/>
          <w:szCs w:val="24"/>
        </w:rPr>
        <w:t>D</w:t>
      </w:r>
      <w:r w:rsidRPr="00580D8B">
        <w:rPr>
          <w:rFonts w:ascii="Arial" w:hAnsi="Arial" w:cs="Arial"/>
          <w:sz w:val="24"/>
          <w:szCs w:val="24"/>
        </w:rPr>
        <w:t>.</w:t>
      </w:r>
      <w:r w:rsidR="00E228C1" w:rsidRPr="00580D8B">
        <w:rPr>
          <w:rFonts w:ascii="Arial" w:hAnsi="Arial" w:cs="Arial"/>
          <w:sz w:val="24"/>
          <w:szCs w:val="24"/>
        </w:rPr>
        <w:t>R</w:t>
      </w:r>
      <w:r w:rsidRPr="00580D8B">
        <w:rPr>
          <w:rFonts w:ascii="Arial" w:hAnsi="Arial" w:cs="Arial"/>
          <w:sz w:val="24"/>
          <w:szCs w:val="24"/>
        </w:rPr>
        <w:t>. (2020). Racial and geographic differences in h</w:t>
      </w:r>
      <w:r w:rsidR="00E228C1" w:rsidRPr="00580D8B">
        <w:rPr>
          <w:rFonts w:ascii="Arial" w:hAnsi="Arial" w:cs="Arial"/>
          <w:sz w:val="24"/>
          <w:szCs w:val="24"/>
        </w:rPr>
        <w:t>ospitalizations</w:t>
      </w:r>
      <w:r w:rsidRPr="00580D8B">
        <w:rPr>
          <w:rFonts w:ascii="Arial" w:hAnsi="Arial" w:cs="Arial"/>
          <w:sz w:val="24"/>
          <w:szCs w:val="24"/>
        </w:rPr>
        <w:t xml:space="preserve"> for pediatric opioid use d</w:t>
      </w:r>
      <w:r w:rsidR="00E228C1" w:rsidRPr="00580D8B">
        <w:rPr>
          <w:rFonts w:ascii="Arial" w:hAnsi="Arial" w:cs="Arial"/>
          <w:sz w:val="24"/>
          <w:szCs w:val="24"/>
        </w:rPr>
        <w:t xml:space="preserve">isorders. </w:t>
      </w:r>
      <w:r w:rsidR="00E228C1" w:rsidRPr="00580D8B">
        <w:rPr>
          <w:rFonts w:ascii="Arial" w:hAnsi="Arial" w:cs="Arial"/>
          <w:i/>
          <w:sz w:val="24"/>
          <w:szCs w:val="24"/>
        </w:rPr>
        <w:t>Int Arch Public Health Community Med</w:t>
      </w:r>
      <w:r w:rsidR="00E228C1" w:rsidRPr="00580D8B">
        <w:rPr>
          <w:rFonts w:ascii="Arial" w:hAnsi="Arial" w:cs="Arial"/>
          <w:sz w:val="24"/>
          <w:szCs w:val="24"/>
        </w:rPr>
        <w:t xml:space="preserve"> 4:042. </w:t>
      </w:r>
      <w:proofErr w:type="spellStart"/>
      <w:r w:rsidR="00E228C1" w:rsidRPr="00580D8B">
        <w:rPr>
          <w:rFonts w:ascii="Arial" w:hAnsi="Arial" w:cs="Arial"/>
          <w:sz w:val="24"/>
          <w:szCs w:val="24"/>
        </w:rPr>
        <w:t>doi</w:t>
      </w:r>
      <w:proofErr w:type="spellEnd"/>
      <w:r w:rsidR="00E228C1" w:rsidRPr="00580D8B">
        <w:rPr>
          <w:rFonts w:ascii="Arial" w:hAnsi="Arial" w:cs="Arial"/>
          <w:sz w:val="24"/>
          <w:szCs w:val="24"/>
        </w:rPr>
        <w:t xml:space="preserve">. org/10.23937/2643-4512/1710042.  </w:t>
      </w:r>
    </w:p>
    <w:p w14:paraId="661626C9" w14:textId="77777777" w:rsidR="00327950" w:rsidRPr="00580D8B" w:rsidRDefault="00327950" w:rsidP="006834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5ABFEC4E" w14:textId="0E731290" w:rsidR="00181551" w:rsidRPr="00580D8B" w:rsidRDefault="006F625C" w:rsidP="006834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hAnsi="Arial" w:cs="Arial"/>
          <w:b/>
          <w:sz w:val="24"/>
          <w:szCs w:val="24"/>
        </w:rPr>
        <w:t>Books/Book Chapters</w:t>
      </w:r>
    </w:p>
    <w:p w14:paraId="64C260AA" w14:textId="77777777" w:rsidR="00181551" w:rsidRPr="00580D8B" w:rsidRDefault="00181551" w:rsidP="00430B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4128B75D" w14:textId="77777777" w:rsidR="009E72CA" w:rsidRDefault="009E72CA" w:rsidP="009E72C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9E72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Barrett, K., Coppola, S., Alvarez, L. (2020). International Occupational Therapy: Strategies for Working and Learning Abroad. Bethesda: AOTA Press. </w:t>
      </w:r>
    </w:p>
    <w:p w14:paraId="44236272" w14:textId="77777777" w:rsidR="009E72CA" w:rsidRPr="009E72CA" w:rsidRDefault="009E72CA" w:rsidP="009E72C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0F238588" w14:textId="4BC6AA89" w:rsidR="00F85C6D" w:rsidRPr="00580D8B" w:rsidRDefault="00F85C6D" w:rsidP="006F625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Belgrave</w:t>
      </w:r>
      <w:r w:rsidR="00580EB6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F</w:t>
      </w:r>
      <w:r w:rsidR="00580EB6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Z</w:t>
      </w:r>
      <w:r w:rsidR="00580EB6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Gary, 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K</w:t>
      </w:r>
      <w:r w:rsidR="00580EB6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W</w:t>
      </w:r>
      <w:r w:rsidR="00580EB6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., &amp; Johnson, 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K</w:t>
      </w:r>
      <w:r w:rsidR="00580EB6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R. </w:t>
      </w:r>
      <w:r w:rsidR="00580EB6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(2019). 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Culture, rac</w:t>
      </w:r>
      <w:r w:rsidR="00580EB6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e, and disability. In: D. Dunn (</w:t>
      </w:r>
      <w:r w:rsidR="007B2E61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Ed.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) </w:t>
      </w:r>
      <w:r w:rsidR="00580EB6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Understanding the Experience of Disability: Perspectives from Social and </w:t>
      </w:r>
      <w:r w:rsidR="00580EB6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lastRenderedPageBreak/>
        <w:t>Rehabilitation P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sychology</w:t>
      </w:r>
      <w:r w:rsidR="007B2E61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(pp.122-136)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 New York, NY</w:t>
      </w:r>
      <w:r w:rsidR="007B2E61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: Oxford University Press.</w:t>
      </w:r>
      <w:r w:rsidR="005B1653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br/>
      </w:r>
    </w:p>
    <w:p w14:paraId="40EE3F2F" w14:textId="19FBA1F7" w:rsidR="009E72CA" w:rsidRPr="009E72CA" w:rsidRDefault="009E72CA" w:rsidP="009E72C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proofErr w:type="spellStart"/>
      <w:r w:rsidRPr="009E72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Chelminski</w:t>
      </w:r>
      <w:proofErr w:type="spellEnd"/>
      <w:r w:rsidRPr="009E72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PR.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(2020). </w:t>
      </w:r>
      <w:r w:rsidRPr="009E72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Leading without line authority. In: Viera AJ and Kramer R (Eds). Management and Leadership Skills for Medical Faculty and Healthcare Executives: A Pr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actical Handbook. Springer</w:t>
      </w:r>
      <w:r w:rsidRPr="009E72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</w:p>
    <w:p w14:paraId="6EA4E9A5" w14:textId="77777777" w:rsidR="009E72CA" w:rsidRPr="009E72CA" w:rsidRDefault="009E72CA" w:rsidP="009E72CA">
      <w:pPr>
        <w:pStyle w:val="ListParagraph"/>
        <w:rPr>
          <w:rFonts w:ascii="Arial" w:hAnsi="Arial" w:cs="Arial"/>
          <w:sz w:val="24"/>
          <w:szCs w:val="24"/>
        </w:rPr>
      </w:pPr>
    </w:p>
    <w:p w14:paraId="2EE83ABA" w14:textId="77777777" w:rsidR="001A5115" w:rsidRDefault="001A5115" w:rsidP="009E72C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Coppola, S. (2020). Designing collaborative formal education events with host country participants. In K. Barrett, S. Coppola, &amp; L. Alvarez (Eds.), International Occupational Therapy: Strategies for Working and Learning Abroad. (pp123-138) Bethesda: AOTA Press. </w:t>
      </w:r>
    </w:p>
    <w:p w14:paraId="0D3869DA" w14:textId="77777777" w:rsidR="001A5115" w:rsidRPr="001A5115" w:rsidRDefault="001A5115" w:rsidP="001A51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1051E771" w14:textId="1E21AEB7" w:rsidR="009E72CA" w:rsidRDefault="009E72CA" w:rsidP="009E72C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9E72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Coppola, S., Alvarez, L., Barrett, K. (2020). Occupation and intercultural practice. In K. Barrett, S. Coppola, &amp; L. Alvarez (Eds.), International Occupational Therapy: Strategies for Working and Learning Abroad. (pp 1-12) Bethesda: AOTA Press. </w:t>
      </w:r>
    </w:p>
    <w:p w14:paraId="4A1A0075" w14:textId="77777777" w:rsidR="009E72CA" w:rsidRPr="009E72CA" w:rsidRDefault="009E72CA" w:rsidP="009E72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430FED6C" w14:textId="77777777" w:rsidR="001A5115" w:rsidRDefault="001A5115" w:rsidP="009E72C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Coppola, S. &amp; Higgins, S. (2019). Fieldwork Education: New and Emerging Models to Support the Future of Healthcare. In S.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Taff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L.C. </w:t>
      </w: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Grajo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, &amp; B Hooper (Eds.) Occupational Therapy Education: Past, Present, and Future. (pp. 201-212). </w:t>
      </w:r>
    </w:p>
    <w:p w14:paraId="7DD6E251" w14:textId="77777777" w:rsidR="001A5115" w:rsidRPr="001A5115" w:rsidRDefault="001A5115" w:rsidP="001A51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28ADEE77" w14:textId="551410D7" w:rsidR="009E72CA" w:rsidRPr="001A5115" w:rsidRDefault="009E72CA" w:rsidP="009E72C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9E72C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Coppola, S. &amp; Shann, S. (2020). Global organizations, policies, and initiatives for disability rights and occupational therapy. In K. Barrett, S. Coppola, &amp; L. Alvarez (Eds.), International Occupational Therapy: Strategies for Working and Learning Abroad. (pp13-26) Bethesda: AOTA Press. </w:t>
      </w:r>
    </w:p>
    <w:p w14:paraId="0D223111" w14:textId="77777777" w:rsidR="001A5115" w:rsidRPr="009E72CA" w:rsidRDefault="001A5115" w:rsidP="009E72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</w:p>
    <w:p w14:paraId="501AA161" w14:textId="14D247DB" w:rsidR="009E72CA" w:rsidRPr="009E72CA" w:rsidRDefault="009E72CA" w:rsidP="009E72C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Coppola, S. &amp; Shann, S. (2020). International perspectives on public health and occupational therapy. In K. Barrett, S. Coppola, &amp; L. Alvarez (Eds.), International Occupational Therapy: Strategies for Working and Learning Abroad. (pp27-42) Bethesda: AOTA Press.</w:t>
      </w:r>
    </w:p>
    <w:p w14:paraId="689C0678" w14:textId="77777777" w:rsidR="009E72CA" w:rsidRPr="009E72CA" w:rsidRDefault="009E72CA" w:rsidP="009E72CA">
      <w:pPr>
        <w:pStyle w:val="ListParagraph"/>
        <w:rPr>
          <w:rFonts w:ascii="Arial" w:hAnsi="Arial" w:cs="Arial"/>
          <w:sz w:val="24"/>
          <w:szCs w:val="24"/>
        </w:rPr>
      </w:pPr>
    </w:p>
    <w:p w14:paraId="3DF955FF" w14:textId="1094BC1C" w:rsidR="0002519C" w:rsidRPr="00580D8B" w:rsidRDefault="00F85C6D" w:rsidP="006F625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DuBay</w:t>
      </w:r>
      <w:proofErr w:type="spellEnd"/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, M., Nowell,</w:t>
      </w:r>
      <w:r w:rsidR="007B2E61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S.W., &amp; Watson, L.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R. (2019). Focus on families. In R. Jorda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n, J. M. Roberts &amp; K. Hume (E</w:t>
      </w:r>
      <w:r w:rsidR="007B2E61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ds.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) The SAGE Handbook of Autism and Education (pp. 186-202). Los Angeles/London: SAGE.</w:t>
      </w:r>
    </w:p>
    <w:p w14:paraId="1A5AAB51" w14:textId="77777777" w:rsidR="005B1653" w:rsidRPr="00580D8B" w:rsidRDefault="005B1653" w:rsidP="005B1653">
      <w:pPr>
        <w:pStyle w:val="ListParagraph"/>
        <w:rPr>
          <w:rFonts w:ascii="Arial" w:hAnsi="Arial" w:cs="Arial"/>
          <w:sz w:val="24"/>
          <w:szCs w:val="24"/>
        </w:rPr>
      </w:pPr>
    </w:p>
    <w:p w14:paraId="1CE95E48" w14:textId="7050F373" w:rsidR="001A5115" w:rsidRPr="005021D3" w:rsidRDefault="002B0E8D" w:rsidP="005021D3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Kinard J</w:t>
      </w:r>
      <w:r w:rsidR="00953FF4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.L., Watson L.R. (2020) Parent responsiveness to children at r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isk of ASD. In: </w:t>
      </w:r>
      <w:proofErr w:type="spellStart"/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Volkmar</w:t>
      </w:r>
      <w:proofErr w:type="spellEnd"/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F. (E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ds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)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Encyclopedia of Autism Spectrum Disorders. Springer, New York, NY. (update of 2018 publication) </w:t>
      </w:r>
      <w:r w:rsidR="001A5115" w:rsidRPr="005021D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br/>
      </w:r>
    </w:p>
    <w:p w14:paraId="0DFACAF3" w14:textId="6A17B869" w:rsidR="00837238" w:rsidRPr="00580D8B" w:rsidRDefault="00837238" w:rsidP="006F625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bidi="ar-SA"/>
        </w:rPr>
      </w:pP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Thorpe, D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&amp;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Paul E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E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 (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2019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)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. Aquatic 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therapy for individuals with Cerebral Palsy across the l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ifespan. In Miller F., Lennon, N, O’Neil 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(E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ds</w:t>
      </w:r>
      <w:r w:rsidR="002C3BDC"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>.)</w:t>
      </w:r>
      <w:r w:rsidRPr="00580D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ar-SA"/>
        </w:rPr>
        <w:t xml:space="preserve"> Cerebral Palsy, 2nd ed. Springer Nature, Heidelberg, Germany.</w:t>
      </w:r>
    </w:p>
    <w:sectPr w:rsidR="00837238" w:rsidRPr="00580D8B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????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C7A"/>
    <w:multiLevelType w:val="hybridMultilevel"/>
    <w:tmpl w:val="1DF0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E74E9"/>
    <w:multiLevelType w:val="hybridMultilevel"/>
    <w:tmpl w:val="E8302578"/>
    <w:lvl w:ilvl="0" w:tplc="484AA802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20B1"/>
    <w:multiLevelType w:val="hybridMultilevel"/>
    <w:tmpl w:val="E8302578"/>
    <w:lvl w:ilvl="0" w:tplc="484AA802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74738"/>
    <w:multiLevelType w:val="hybridMultilevel"/>
    <w:tmpl w:val="0616CB34"/>
    <w:lvl w:ilvl="0" w:tplc="D61818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87772"/>
    <w:multiLevelType w:val="hybridMultilevel"/>
    <w:tmpl w:val="36EEB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D58AE"/>
    <w:multiLevelType w:val="hybridMultilevel"/>
    <w:tmpl w:val="CE5C2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E3A90"/>
    <w:multiLevelType w:val="hybridMultilevel"/>
    <w:tmpl w:val="DE8A18C6"/>
    <w:lvl w:ilvl="0" w:tplc="F01E6F5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B5696"/>
    <w:multiLevelType w:val="hybridMultilevel"/>
    <w:tmpl w:val="FB98863E"/>
    <w:lvl w:ilvl="0" w:tplc="484AA802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2519C"/>
    <w:rsid w:val="000267D6"/>
    <w:rsid w:val="00026DE0"/>
    <w:rsid w:val="00044911"/>
    <w:rsid w:val="00050785"/>
    <w:rsid w:val="0005688D"/>
    <w:rsid w:val="00074A24"/>
    <w:rsid w:val="00086193"/>
    <w:rsid w:val="000D4D11"/>
    <w:rsid w:val="000E264F"/>
    <w:rsid w:val="0010098F"/>
    <w:rsid w:val="00141C47"/>
    <w:rsid w:val="0014677E"/>
    <w:rsid w:val="00165BD5"/>
    <w:rsid w:val="001701B4"/>
    <w:rsid w:val="00172D64"/>
    <w:rsid w:val="00181018"/>
    <w:rsid w:val="00181551"/>
    <w:rsid w:val="001A5115"/>
    <w:rsid w:val="001D24FA"/>
    <w:rsid w:val="001E7D90"/>
    <w:rsid w:val="001F20E9"/>
    <w:rsid w:val="00200E70"/>
    <w:rsid w:val="002332D7"/>
    <w:rsid w:val="002510AD"/>
    <w:rsid w:val="002676B6"/>
    <w:rsid w:val="002B0E8D"/>
    <w:rsid w:val="002B41A6"/>
    <w:rsid w:val="002C3BDC"/>
    <w:rsid w:val="002C6161"/>
    <w:rsid w:val="0031145E"/>
    <w:rsid w:val="00317807"/>
    <w:rsid w:val="00327950"/>
    <w:rsid w:val="003403E1"/>
    <w:rsid w:val="00340B87"/>
    <w:rsid w:val="003521D9"/>
    <w:rsid w:val="00353F40"/>
    <w:rsid w:val="00375ED2"/>
    <w:rsid w:val="00385B41"/>
    <w:rsid w:val="00385BD4"/>
    <w:rsid w:val="00395B72"/>
    <w:rsid w:val="00397978"/>
    <w:rsid w:val="003A1629"/>
    <w:rsid w:val="003D1AD9"/>
    <w:rsid w:val="003E2DCB"/>
    <w:rsid w:val="003E41B3"/>
    <w:rsid w:val="0041229D"/>
    <w:rsid w:val="00430B16"/>
    <w:rsid w:val="00443079"/>
    <w:rsid w:val="004644E7"/>
    <w:rsid w:val="00474722"/>
    <w:rsid w:val="0048464E"/>
    <w:rsid w:val="004A32A8"/>
    <w:rsid w:val="004A3D96"/>
    <w:rsid w:val="004A4A9B"/>
    <w:rsid w:val="004B1BA3"/>
    <w:rsid w:val="004B71EC"/>
    <w:rsid w:val="004F7D9F"/>
    <w:rsid w:val="005021D3"/>
    <w:rsid w:val="0054558C"/>
    <w:rsid w:val="00552402"/>
    <w:rsid w:val="00553D15"/>
    <w:rsid w:val="0055785C"/>
    <w:rsid w:val="00580A45"/>
    <w:rsid w:val="00580D8B"/>
    <w:rsid w:val="00580EB6"/>
    <w:rsid w:val="00597FD1"/>
    <w:rsid w:val="005A078F"/>
    <w:rsid w:val="005B1653"/>
    <w:rsid w:val="005B67F5"/>
    <w:rsid w:val="005C2C2D"/>
    <w:rsid w:val="005E0613"/>
    <w:rsid w:val="005E2600"/>
    <w:rsid w:val="0060047B"/>
    <w:rsid w:val="00607077"/>
    <w:rsid w:val="00611A0E"/>
    <w:rsid w:val="00626C95"/>
    <w:rsid w:val="0064525C"/>
    <w:rsid w:val="00645398"/>
    <w:rsid w:val="00656383"/>
    <w:rsid w:val="006631BF"/>
    <w:rsid w:val="00663EF0"/>
    <w:rsid w:val="00683415"/>
    <w:rsid w:val="00686D30"/>
    <w:rsid w:val="00697173"/>
    <w:rsid w:val="00697948"/>
    <w:rsid w:val="006C0CC8"/>
    <w:rsid w:val="006D7AAA"/>
    <w:rsid w:val="006F625C"/>
    <w:rsid w:val="00705CE8"/>
    <w:rsid w:val="0070689B"/>
    <w:rsid w:val="00724C4E"/>
    <w:rsid w:val="00731D41"/>
    <w:rsid w:val="0075000F"/>
    <w:rsid w:val="007A4BD4"/>
    <w:rsid w:val="007B0C49"/>
    <w:rsid w:val="007B2E61"/>
    <w:rsid w:val="007C58FF"/>
    <w:rsid w:val="007D03A7"/>
    <w:rsid w:val="007D70A5"/>
    <w:rsid w:val="007E03BE"/>
    <w:rsid w:val="007E63CD"/>
    <w:rsid w:val="00804C02"/>
    <w:rsid w:val="00805009"/>
    <w:rsid w:val="00831F00"/>
    <w:rsid w:val="00837238"/>
    <w:rsid w:val="00845B88"/>
    <w:rsid w:val="00876949"/>
    <w:rsid w:val="008847F1"/>
    <w:rsid w:val="008D5277"/>
    <w:rsid w:val="00901127"/>
    <w:rsid w:val="009111E6"/>
    <w:rsid w:val="0093052D"/>
    <w:rsid w:val="009328CB"/>
    <w:rsid w:val="00945DBA"/>
    <w:rsid w:val="00953FF4"/>
    <w:rsid w:val="00970520"/>
    <w:rsid w:val="0097059B"/>
    <w:rsid w:val="00970C08"/>
    <w:rsid w:val="009722D0"/>
    <w:rsid w:val="0097799F"/>
    <w:rsid w:val="009921C6"/>
    <w:rsid w:val="009945C6"/>
    <w:rsid w:val="009D50A1"/>
    <w:rsid w:val="009E72CA"/>
    <w:rsid w:val="009F1B37"/>
    <w:rsid w:val="009F6FF9"/>
    <w:rsid w:val="00A02F19"/>
    <w:rsid w:val="00A10195"/>
    <w:rsid w:val="00A107E1"/>
    <w:rsid w:val="00A32FA4"/>
    <w:rsid w:val="00A50640"/>
    <w:rsid w:val="00A648DE"/>
    <w:rsid w:val="00A94AF2"/>
    <w:rsid w:val="00AD009B"/>
    <w:rsid w:val="00AD18A2"/>
    <w:rsid w:val="00AD246C"/>
    <w:rsid w:val="00AE0F8A"/>
    <w:rsid w:val="00AF195D"/>
    <w:rsid w:val="00AF1E09"/>
    <w:rsid w:val="00AF70C4"/>
    <w:rsid w:val="00B35F49"/>
    <w:rsid w:val="00B507DB"/>
    <w:rsid w:val="00B92AE4"/>
    <w:rsid w:val="00B97B64"/>
    <w:rsid w:val="00BA3671"/>
    <w:rsid w:val="00BC035F"/>
    <w:rsid w:val="00BC37C8"/>
    <w:rsid w:val="00BC71A7"/>
    <w:rsid w:val="00BE1A1D"/>
    <w:rsid w:val="00C058E6"/>
    <w:rsid w:val="00C07870"/>
    <w:rsid w:val="00C2666E"/>
    <w:rsid w:val="00C27AEA"/>
    <w:rsid w:val="00C51C5E"/>
    <w:rsid w:val="00C80E37"/>
    <w:rsid w:val="00C970D2"/>
    <w:rsid w:val="00CA2812"/>
    <w:rsid w:val="00CC4C58"/>
    <w:rsid w:val="00CD04C3"/>
    <w:rsid w:val="00CD42A0"/>
    <w:rsid w:val="00CE4413"/>
    <w:rsid w:val="00D145AF"/>
    <w:rsid w:val="00D162F6"/>
    <w:rsid w:val="00D222E4"/>
    <w:rsid w:val="00D30B1C"/>
    <w:rsid w:val="00D32A59"/>
    <w:rsid w:val="00D34A90"/>
    <w:rsid w:val="00D34EC0"/>
    <w:rsid w:val="00D5072B"/>
    <w:rsid w:val="00D84C99"/>
    <w:rsid w:val="00DD0A97"/>
    <w:rsid w:val="00DD5778"/>
    <w:rsid w:val="00DE26DA"/>
    <w:rsid w:val="00E0224F"/>
    <w:rsid w:val="00E07074"/>
    <w:rsid w:val="00E228C1"/>
    <w:rsid w:val="00E4025B"/>
    <w:rsid w:val="00E51E4D"/>
    <w:rsid w:val="00E81601"/>
    <w:rsid w:val="00E85004"/>
    <w:rsid w:val="00EC1724"/>
    <w:rsid w:val="00ED4176"/>
    <w:rsid w:val="00EF140D"/>
    <w:rsid w:val="00F135CC"/>
    <w:rsid w:val="00F355C5"/>
    <w:rsid w:val="00F40FA2"/>
    <w:rsid w:val="00F43AB1"/>
    <w:rsid w:val="00F54E8E"/>
    <w:rsid w:val="00F55F63"/>
    <w:rsid w:val="00F60DEF"/>
    <w:rsid w:val="00F72A75"/>
    <w:rsid w:val="00F85C6D"/>
    <w:rsid w:val="00F86AD2"/>
    <w:rsid w:val="00FA49D3"/>
    <w:rsid w:val="00FF2FB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eastAsia="ja-JP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4004B"/>
  <w15:docId w15:val="{5F63AB3C-6F55-CB45-8CE8-C16691C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3670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5817286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1855220316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601567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52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729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082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767262011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1919050995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2468164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891">
          <w:marLeft w:val="0"/>
          <w:marRight w:val="0"/>
          <w:marTop w:val="0"/>
          <w:marBottom w:val="0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378095892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8" w:color="CFCFCF"/>
                <w:bottom w:val="none" w:sz="0" w:space="0" w:color="CFCFCF"/>
                <w:right w:val="none" w:sz="0" w:space="8" w:color="CFCFCF"/>
              </w:divBdr>
              <w:divsChild>
                <w:div w:id="220362747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7430190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2" w:color="808080"/>
                                <w:bottom w:val="single" w:sz="6" w:space="0" w:color="808080"/>
                                <w:right w:val="single" w:sz="6" w:space="2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82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8751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24097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Kinneer, Patty</cp:lastModifiedBy>
  <cp:revision>2</cp:revision>
  <dcterms:created xsi:type="dcterms:W3CDTF">2020-11-03T20:02:00Z</dcterms:created>
  <dcterms:modified xsi:type="dcterms:W3CDTF">2020-11-03T20:02:00Z</dcterms:modified>
</cp:coreProperties>
</file>