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FF473" w14:textId="77777777" w:rsidR="00B17833" w:rsidRDefault="00B17833" w:rsidP="00B17833">
      <w:pPr>
        <w:spacing w:after="0"/>
        <w:ind w:left="23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14:paraId="40D1BD37" w14:textId="77777777" w:rsidR="00B17833" w:rsidRDefault="00B17833" w:rsidP="00B17833">
      <w:pPr>
        <w:spacing w:after="0"/>
        <w:ind w:left="23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Masters of Science</w:t>
      </w:r>
      <w:r w:rsidRPr="00222C4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Program of Study </w:t>
      </w:r>
    </w:p>
    <w:p w14:paraId="4954ADDD" w14:textId="77777777" w:rsidR="00B17833" w:rsidRPr="00222C40" w:rsidRDefault="00833045" w:rsidP="00B17833">
      <w:pPr>
        <w:spacing w:after="0"/>
        <w:ind w:left="23" w:right="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Speech-</w:t>
      </w:r>
      <w:r w:rsidR="00B1783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Language Pathology </w:t>
      </w:r>
    </w:p>
    <w:p w14:paraId="509ECAAE" w14:textId="77777777" w:rsidR="00B17833" w:rsidRDefault="00C14419" w:rsidP="008346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Sample Curriculum</w:t>
      </w:r>
      <w:r w:rsidR="008346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6D2556A" w14:textId="77777777" w:rsidR="00B17833" w:rsidRPr="00222C40" w:rsidRDefault="00B17833" w:rsidP="00B178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leGrid"/>
        <w:tblW w:w="9589" w:type="dxa"/>
        <w:tblInd w:w="6" w:type="dxa"/>
        <w:tblCellMar>
          <w:top w:w="8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934"/>
        <w:gridCol w:w="4655"/>
      </w:tblGrid>
      <w:tr w:rsidR="00B17833" w:rsidRPr="00222C40" w14:paraId="521B7009" w14:textId="77777777" w:rsidTr="00B17833">
        <w:trPr>
          <w:trHeight w:val="287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C66" w14:textId="77777777" w:rsidR="00B17833" w:rsidRPr="00E17D0E" w:rsidRDefault="00833045" w:rsidP="006505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b/>
                <w:color w:val="000000"/>
              </w:rPr>
              <w:t>MS/SLP CORE Content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FDD" w14:textId="77777777" w:rsidR="00B17833" w:rsidRPr="00E17D0E" w:rsidRDefault="008346EA" w:rsidP="008346EA">
            <w:pPr>
              <w:ind w:left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b/>
                <w:color w:val="000000"/>
              </w:rPr>
              <w:t>60 total cumulative hours for MS/SLP</w:t>
            </w:r>
          </w:p>
        </w:tc>
      </w:tr>
      <w:tr w:rsidR="00B17833" w:rsidRPr="00222C40" w14:paraId="7C294537" w14:textId="77777777" w:rsidTr="00B17833">
        <w:trPr>
          <w:trHeight w:val="28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01A5DF71" w14:textId="77777777" w:rsidR="00B17833" w:rsidRPr="00E17D0E" w:rsidRDefault="00833045" w:rsidP="0065058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b/>
                <w:color w:val="000000"/>
              </w:rPr>
              <w:t>Fall Year 1</w:t>
            </w:r>
          </w:p>
        </w:tc>
        <w:tc>
          <w:tcPr>
            <w:tcW w:w="4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79A12E" w14:textId="77777777" w:rsidR="00B17833" w:rsidRPr="00E17D0E" w:rsidRDefault="00B17833" w:rsidP="006505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7833" w:rsidRPr="00222C40" w14:paraId="231206DE" w14:textId="77777777" w:rsidTr="00B17833">
        <w:trPr>
          <w:trHeight w:val="564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3CAD" w14:textId="77777777" w:rsidR="00833045" w:rsidRPr="00E17D0E" w:rsidRDefault="00833045" w:rsidP="00833045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762: Language Impairments in School Age Children (3)</w:t>
            </w:r>
          </w:p>
          <w:p w14:paraId="05918FB2" w14:textId="77777777" w:rsidR="00833045" w:rsidRPr="00E17D0E" w:rsidRDefault="00833045" w:rsidP="00833045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741: Neuroanatomy (3)</w:t>
            </w:r>
          </w:p>
          <w:p w14:paraId="3C4240C8" w14:textId="77777777" w:rsidR="00833045" w:rsidRPr="00E17D0E" w:rsidRDefault="00833045" w:rsidP="00833045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743: Pediatric Speech Disorders (4)</w:t>
            </w:r>
          </w:p>
          <w:p w14:paraId="54BC1D6F" w14:textId="77777777" w:rsidR="00833045" w:rsidRPr="00E17D0E" w:rsidRDefault="00833045" w:rsidP="00833045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765: Augmentative Alternative Communication</w:t>
            </w:r>
            <w:r w:rsidR="00710C72"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 (3)</w:t>
            </w:r>
          </w:p>
          <w:p w14:paraId="4FC210ED" w14:textId="77777777" w:rsidR="00833045" w:rsidRPr="00E17D0E" w:rsidRDefault="00833045" w:rsidP="00833045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771: Supervised Clinical Experience</w:t>
            </w:r>
            <w:r w:rsidR="00710C72"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  <w:r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 (1)</w:t>
            </w:r>
          </w:p>
          <w:p w14:paraId="631039A0" w14:textId="77777777" w:rsidR="00B17833" w:rsidRPr="00E17D0E" w:rsidRDefault="00833045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776: Ethical Practice Policies and Guidelines (1)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8DB0" w14:textId="77777777" w:rsidR="00710C72" w:rsidRPr="00E17D0E" w:rsidRDefault="00710C72" w:rsidP="00833045">
            <w:pPr>
              <w:ind w:left="1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386B5541" w14:textId="77777777" w:rsidR="00710C72" w:rsidRPr="00E17D0E" w:rsidRDefault="00710C72" w:rsidP="00833045">
            <w:pPr>
              <w:ind w:left="1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08B280ED" w14:textId="77777777" w:rsidR="00710C72" w:rsidRPr="00E17D0E" w:rsidRDefault="00710C72" w:rsidP="00833045">
            <w:pPr>
              <w:ind w:left="1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4308A8AA" w14:textId="77777777" w:rsidR="00710C72" w:rsidRPr="00E17D0E" w:rsidRDefault="00710C72" w:rsidP="00833045">
            <w:pPr>
              <w:ind w:left="1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3E3B4DCF" w14:textId="77777777" w:rsidR="00710C72" w:rsidRPr="00E17D0E" w:rsidRDefault="00710C72" w:rsidP="00833045">
            <w:pPr>
              <w:ind w:left="1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0424E60E" w14:textId="77777777" w:rsidR="00710C72" w:rsidRPr="00E17D0E" w:rsidRDefault="00710C72" w:rsidP="00833045">
            <w:pPr>
              <w:ind w:left="1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169A5120" w14:textId="77777777" w:rsidR="00710C72" w:rsidRPr="00E17D0E" w:rsidRDefault="00710C72" w:rsidP="00833045">
            <w:pPr>
              <w:ind w:left="1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3926E848" w14:textId="77777777" w:rsidR="00710C72" w:rsidRPr="00E17D0E" w:rsidRDefault="00710C72" w:rsidP="00833045">
            <w:pPr>
              <w:ind w:left="1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24A9D9B7" w14:textId="3E6ECB1C" w:rsidR="00F46672" w:rsidRPr="00E17D0E" w:rsidRDefault="00F46672" w:rsidP="00833045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7833" w:rsidRPr="00222C40" w14:paraId="03144CDA" w14:textId="77777777" w:rsidTr="00B17833">
        <w:trPr>
          <w:trHeight w:val="28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059E2DC5" w14:textId="77777777" w:rsidR="00B17833" w:rsidRPr="00E17D0E" w:rsidRDefault="00833045" w:rsidP="00B1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b/>
                <w:color w:val="000000"/>
              </w:rPr>
              <w:t>Spring Year 1</w:t>
            </w:r>
          </w:p>
        </w:tc>
        <w:tc>
          <w:tcPr>
            <w:tcW w:w="4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04E9E1C" w14:textId="77777777" w:rsidR="00B17833" w:rsidRPr="00E17D0E" w:rsidRDefault="00B17833" w:rsidP="006505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7833" w:rsidRPr="00222C40" w14:paraId="3017C9D5" w14:textId="77777777" w:rsidTr="00B17833">
        <w:trPr>
          <w:trHeight w:val="28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EEE8" w14:textId="77777777" w:rsidR="00833045" w:rsidRPr="00E17D0E" w:rsidRDefault="00833045" w:rsidP="00833045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701: Introduction to Research Design (3)</w:t>
            </w:r>
          </w:p>
          <w:p w14:paraId="4FDE1E76" w14:textId="77777777" w:rsidR="00833045" w:rsidRPr="00E17D0E" w:rsidRDefault="00833045" w:rsidP="00833045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760: Adult Communication Disorders (3)</w:t>
            </w:r>
          </w:p>
          <w:p w14:paraId="17438018" w14:textId="77777777" w:rsidR="00833045" w:rsidRPr="00E17D0E" w:rsidRDefault="00833045" w:rsidP="00833045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754: Dysphagia (3)</w:t>
            </w:r>
          </w:p>
          <w:p w14:paraId="1395C96D" w14:textId="77777777" w:rsidR="00833045" w:rsidRPr="00E17D0E" w:rsidRDefault="00833045" w:rsidP="00833045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SPHS 772: Supervised Clinical Experience </w:t>
            </w:r>
            <w:r w:rsidR="00710C72"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745D109E" w14:textId="77777777" w:rsidR="00833045" w:rsidRPr="00E17D0E" w:rsidRDefault="00833045" w:rsidP="00833045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777: Contemporary Professional Issues (1)</w:t>
            </w:r>
          </w:p>
          <w:p w14:paraId="31537C2E" w14:textId="5115EB29" w:rsidR="00B17833" w:rsidRPr="00E17D0E" w:rsidRDefault="00B17833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B112" w14:textId="77777777" w:rsidR="008B254C" w:rsidRPr="00E17D0E" w:rsidRDefault="008B254C" w:rsidP="0065058E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Elective Options:</w:t>
            </w:r>
          </w:p>
          <w:p w14:paraId="3CC900DE" w14:textId="77777777" w:rsidR="00833045" w:rsidRPr="00E17D0E" w:rsidRDefault="00833045" w:rsidP="008330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880: Autism Seminar (3)</w:t>
            </w:r>
            <w:r w:rsidR="00710C72"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 OR</w:t>
            </w:r>
          </w:p>
          <w:p w14:paraId="46B7282D" w14:textId="77777777" w:rsidR="00710C72" w:rsidRPr="00E17D0E" w:rsidRDefault="00833045" w:rsidP="00E17D0E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834: Counseling and Communication Disorders (3)</w:t>
            </w:r>
          </w:p>
          <w:p w14:paraId="4D863122" w14:textId="7BD8EB50" w:rsidR="00E17D0E" w:rsidRPr="00E17D0E" w:rsidRDefault="00E17D0E" w:rsidP="00E17D0E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751: Communication Disorders: Global Service Learning (2)</w:t>
            </w:r>
          </w:p>
        </w:tc>
      </w:tr>
      <w:tr w:rsidR="00B17833" w:rsidRPr="00222C40" w14:paraId="09B9BC5B" w14:textId="77777777" w:rsidTr="00B17833">
        <w:trPr>
          <w:trHeight w:val="28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1BA6BA1C" w14:textId="77777777" w:rsidR="00B17833" w:rsidRPr="00E17D0E" w:rsidRDefault="00833045" w:rsidP="00B178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b/>
                <w:color w:val="000000"/>
              </w:rPr>
              <w:t>Summer</w:t>
            </w:r>
          </w:p>
        </w:tc>
        <w:tc>
          <w:tcPr>
            <w:tcW w:w="4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63E93D2" w14:textId="77777777" w:rsidR="00B17833" w:rsidRPr="00E17D0E" w:rsidRDefault="00B17833" w:rsidP="006505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7833" w:rsidRPr="00222C40" w14:paraId="331FA37C" w14:textId="77777777" w:rsidTr="00B17833">
        <w:trPr>
          <w:trHeight w:val="1392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931A" w14:textId="77777777" w:rsidR="00B17833" w:rsidRPr="00E17D0E" w:rsidRDefault="00B17833" w:rsidP="008330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</w:t>
            </w:r>
            <w:r w:rsidR="00A4530A"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 773</w:t>
            </w: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F46672" w:rsidRPr="00E17D0E">
              <w:rPr>
                <w:rFonts w:ascii="Times New Roman" w:eastAsia="Times New Roman" w:hAnsi="Times New Roman" w:cs="Times New Roman"/>
                <w:color w:val="000000"/>
              </w:rPr>
              <w:t>Supervised Clinical Experience</w:t>
            </w:r>
            <w:r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6672" w:rsidRPr="00E17D0E">
              <w:rPr>
                <w:rFonts w:ascii="Times New Roman" w:eastAsia="Times New Roman" w:hAnsi="Times New Roman" w:cs="Times New Roman"/>
                <w:color w:val="000000"/>
              </w:rPr>
              <w:t>(1</w:t>
            </w: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60C70E15" w14:textId="77777777" w:rsidR="00710C72" w:rsidRPr="00E17D0E" w:rsidRDefault="00710C72" w:rsidP="008330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778: Culturally Responsive Practices in SLP (2)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97CE" w14:textId="43313047" w:rsidR="00B17833" w:rsidRPr="00E17D0E" w:rsidRDefault="00B17833" w:rsidP="00E17D0E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17833" w:rsidRPr="00222C40" w14:paraId="6934348B" w14:textId="77777777" w:rsidTr="00B17833">
        <w:trPr>
          <w:trHeight w:val="28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5FCFAA61" w14:textId="77777777" w:rsidR="00B17833" w:rsidRPr="00E17D0E" w:rsidRDefault="00A16AF9" w:rsidP="00B1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b/>
                <w:color w:val="000000"/>
              </w:rPr>
              <w:t>Fall Year 2</w:t>
            </w:r>
          </w:p>
        </w:tc>
        <w:tc>
          <w:tcPr>
            <w:tcW w:w="4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CC83F61" w14:textId="77777777" w:rsidR="00B17833" w:rsidRPr="00E17D0E" w:rsidRDefault="00B17833" w:rsidP="006505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7833" w:rsidRPr="00222C40" w14:paraId="4279F44F" w14:textId="77777777" w:rsidTr="00B17833">
        <w:trPr>
          <w:trHeight w:val="84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9D34" w14:textId="77777777" w:rsidR="00A16AF9" w:rsidRPr="00E17D0E" w:rsidRDefault="00A16AF9" w:rsidP="00A16AF9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744: Motor Speech Disorders (4)</w:t>
            </w:r>
          </w:p>
          <w:p w14:paraId="682B8C29" w14:textId="77777777" w:rsidR="00A16AF9" w:rsidRPr="00E17D0E" w:rsidRDefault="00A16AF9" w:rsidP="00A16AF9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774: Supervised Clinical Experience</w:t>
            </w:r>
            <w:r w:rsidR="00710C72"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 IV</w:t>
            </w:r>
            <w:r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 (1)</w:t>
            </w:r>
          </w:p>
          <w:p w14:paraId="69ACEA8B" w14:textId="77777777" w:rsidR="00B17833" w:rsidRPr="00E17D0E" w:rsidRDefault="00710C72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752: Seminar in Medical SLP (3)</w:t>
            </w:r>
          </w:p>
          <w:p w14:paraId="29AEB4AF" w14:textId="77777777" w:rsidR="00710C72" w:rsidRPr="00E17D0E" w:rsidRDefault="00710C72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OR</w:t>
            </w:r>
          </w:p>
          <w:p w14:paraId="2E565D6A" w14:textId="77777777" w:rsidR="00710C72" w:rsidRPr="00E17D0E" w:rsidRDefault="00710C72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806: Seminar in Early Intervention (3)</w:t>
            </w:r>
          </w:p>
          <w:p w14:paraId="424A7C0E" w14:textId="77777777" w:rsidR="00710C72" w:rsidRPr="00E17D0E" w:rsidRDefault="00710C72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803: Pediatric Aural Habilitation (3)</w:t>
            </w:r>
          </w:p>
          <w:p w14:paraId="3E86090A" w14:textId="77777777" w:rsidR="00710C72" w:rsidRPr="00E17D0E" w:rsidRDefault="00710C72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OR</w:t>
            </w:r>
          </w:p>
          <w:p w14:paraId="3715AA50" w14:textId="77777777" w:rsidR="00710C72" w:rsidRPr="00E17D0E" w:rsidRDefault="00710C72" w:rsidP="00710C72">
            <w:pPr>
              <w:ind w:left="1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804: Adult Aural Rehabilitation (3)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8532" w14:textId="77777777" w:rsidR="008B254C" w:rsidRPr="00E17D0E" w:rsidRDefault="008B254C" w:rsidP="0065058E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 xml:space="preserve">Elective Options: </w:t>
            </w:r>
          </w:p>
          <w:p w14:paraId="3489A99B" w14:textId="2C8CBF18" w:rsidR="00A16AF9" w:rsidRPr="00E17D0E" w:rsidRDefault="00710C72" w:rsidP="00A16AF9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792: Pediatric Dysphagia (</w:t>
            </w:r>
            <w:r w:rsidR="00E17D0E" w:rsidRPr="00E17D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16AF9" w:rsidRPr="00E17D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203C5C01" w14:textId="77777777" w:rsidR="00710C72" w:rsidRPr="00E17D0E" w:rsidRDefault="00710C72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742: Aphasia (3)</w:t>
            </w:r>
          </w:p>
          <w:p w14:paraId="46A24AC9" w14:textId="77777777" w:rsidR="00710C72" w:rsidRPr="00E17D0E" w:rsidRDefault="00710C72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840: Aging and Communication (3)</w:t>
            </w:r>
          </w:p>
          <w:p w14:paraId="5B1BD23E" w14:textId="77777777" w:rsidR="008346EA" w:rsidRPr="00E17D0E" w:rsidRDefault="008346EA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5D6A77" w14:textId="77777777" w:rsidR="008346EA" w:rsidRPr="00E17D0E" w:rsidRDefault="008346EA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CA3E2E" w14:textId="77777777" w:rsidR="008346EA" w:rsidRPr="00E17D0E" w:rsidRDefault="008346EA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C05A95" w14:textId="77777777" w:rsidR="008346EA" w:rsidRPr="00E17D0E" w:rsidRDefault="008346EA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5FC0F3" w14:textId="4A7E310A" w:rsidR="008346EA" w:rsidRPr="00E17D0E" w:rsidRDefault="008346EA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7833" w:rsidRPr="00222C40" w14:paraId="0A9AA568" w14:textId="77777777" w:rsidTr="00B17833">
        <w:trPr>
          <w:trHeight w:val="28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5B9E3FDB" w14:textId="77777777" w:rsidR="00B17833" w:rsidRPr="00E17D0E" w:rsidRDefault="00710C72" w:rsidP="00B1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b/>
                <w:color w:val="000000"/>
              </w:rPr>
              <w:t>Spring Year 2</w:t>
            </w:r>
          </w:p>
        </w:tc>
        <w:tc>
          <w:tcPr>
            <w:tcW w:w="4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104A77F" w14:textId="77777777" w:rsidR="00B17833" w:rsidRPr="00E17D0E" w:rsidRDefault="00B17833" w:rsidP="0065058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7833" w:rsidRPr="00222C40" w14:paraId="3D73BD79" w14:textId="77777777" w:rsidTr="00B17833">
        <w:trPr>
          <w:trHeight w:val="839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3A54" w14:textId="77777777" w:rsidR="00710C72" w:rsidRPr="00E17D0E" w:rsidRDefault="00710C72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870: Research Experience (3)</w:t>
            </w:r>
          </w:p>
          <w:p w14:paraId="4172A785" w14:textId="77777777" w:rsidR="00710C72" w:rsidRPr="00E17D0E" w:rsidRDefault="00710C72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775: Supervised Clinical Experience V (2)</w:t>
            </w:r>
          </w:p>
          <w:p w14:paraId="66916E95" w14:textId="77777777" w:rsidR="00710C72" w:rsidRPr="00E17D0E" w:rsidRDefault="00710C72" w:rsidP="00710C72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779: Professional Practice Issues (2)</w:t>
            </w:r>
          </w:p>
          <w:p w14:paraId="744C3F17" w14:textId="0E413A17" w:rsidR="00B17833" w:rsidRPr="00E17D0E" w:rsidRDefault="00E17D0E" w:rsidP="008346EA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+ Optional Elective if needed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43F3" w14:textId="77777777" w:rsidR="008B254C" w:rsidRPr="00E17D0E" w:rsidRDefault="008B254C" w:rsidP="00A4530A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Electives:</w:t>
            </w:r>
          </w:p>
          <w:p w14:paraId="79C49F02" w14:textId="0AC0922A" w:rsidR="00F46672" w:rsidRPr="00E17D0E" w:rsidRDefault="008346EA" w:rsidP="008346EA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751: Communication Disorders: Global Service Learning (2)</w:t>
            </w:r>
          </w:p>
          <w:p w14:paraId="50B6C3D3" w14:textId="77777777" w:rsidR="00E17D0E" w:rsidRPr="00E17D0E" w:rsidRDefault="00E17D0E" w:rsidP="00E17D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880: Autism Seminar (3) OR</w:t>
            </w:r>
          </w:p>
          <w:p w14:paraId="071518D9" w14:textId="622AFCCD" w:rsidR="008346EA" w:rsidRPr="00E17D0E" w:rsidRDefault="00E17D0E" w:rsidP="00E17D0E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834: Counseling and Communication Disorders (3)</w:t>
            </w:r>
          </w:p>
          <w:p w14:paraId="4F66FFE4" w14:textId="0248F023" w:rsidR="008346EA" w:rsidRPr="00E17D0E" w:rsidRDefault="00E17D0E" w:rsidP="00E17D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7D0E">
              <w:rPr>
                <w:rFonts w:ascii="Times New Roman" w:eastAsia="Times New Roman" w:hAnsi="Times New Roman" w:cs="Times New Roman"/>
                <w:color w:val="000000"/>
              </w:rPr>
              <w:t>SPHS 802.095: Cognitive Communication Disorders (3)</w:t>
            </w:r>
          </w:p>
        </w:tc>
      </w:tr>
    </w:tbl>
    <w:p w14:paraId="1C389729" w14:textId="77777777" w:rsidR="00B17833" w:rsidRDefault="00B17833" w:rsidP="00B1783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20BCF52" w14:textId="77777777" w:rsidR="00B17833" w:rsidRDefault="00B17833" w:rsidP="00E17D0E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5A1D44F2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DIVISION OF SPEECH AND HEARING SCIENCES: </w:t>
      </w:r>
    </w:p>
    <w:p w14:paraId="2FEACEAF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7D016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MS/SLP COURSEWORK REQUIREMENTS</w:t>
      </w:r>
    </w:p>
    <w:p w14:paraId="6CC6C4E4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The Master’s Degree program in Speech-Language Pathology offers a range of courses. At the completion of the Master’s course of study students are eligible to receive a Master of Science in Speech and Hearing Sciences and to take the national examination for certification known as the Praxis Examination.</w:t>
      </w:r>
    </w:p>
    <w:p w14:paraId="207C440F" w14:textId="77777777" w:rsidR="00A57152" w:rsidRDefault="00A57152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BB636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*Each student is required to complete a minimum of </w:t>
      </w:r>
      <w:r w:rsidRPr="00F07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 credit hours </w:t>
      </w: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in the M.S. program.</w:t>
      </w:r>
    </w:p>
    <w:p w14:paraId="259A0964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166F7A7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COMPETENCIES</w:t>
      </w:r>
    </w:p>
    <w:p w14:paraId="06378F99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All students will a</w:t>
      </w:r>
      <w:r w:rsidR="00E7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ttain a foundation in research </w:t>
      </w: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E7699C">
        <w:rPr>
          <w:rFonts w:ascii="Times New Roman" w:eastAsia="Times New Roman" w:hAnsi="Times New Roman" w:cs="Times New Roman"/>
          <w:color w:val="000000"/>
          <w:sz w:val="24"/>
          <w:szCs w:val="24"/>
        </w:rPr>
        <w:t>their program of study through coursework in research design (SPHS 701),</w:t>
      </w:r>
      <w:r w:rsidR="00A57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guided</w:t>
      </w:r>
      <w:r w:rsidR="00E7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experience</w:t>
      </w:r>
      <w:r w:rsidR="00A5715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7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(SPHS 870)</w:t>
      </w:r>
      <w:r w:rsidR="00A57152">
        <w:rPr>
          <w:rFonts w:ascii="Times New Roman" w:eastAsia="Times New Roman" w:hAnsi="Times New Roman" w:cs="Times New Roman"/>
          <w:color w:val="000000"/>
          <w:sz w:val="24"/>
          <w:szCs w:val="24"/>
        </w:rPr>
        <w:t>; a master’s thesis is also an option.</w:t>
      </w:r>
    </w:p>
    <w:p w14:paraId="1C8C9077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578EDB54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CLINICAL PROGRAM REQUIREMENTS</w:t>
      </w:r>
    </w:p>
    <w:p w14:paraId="1E8104E7" w14:textId="544CB7DE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color w:val="333333"/>
          <w:sz w:val="24"/>
          <w:szCs w:val="24"/>
        </w:rPr>
        <w:t>In order to achieve eligibility for certification in speech-language pathology, all students complete a </w:t>
      </w:r>
      <w:r w:rsidRPr="00F07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minimum of 400 clock hours</w:t>
      </w:r>
      <w:r w:rsidRPr="00F079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of supervised clinical experience in the practice of speech-language pathology. Students must acquire a minimum of 25 hours in clinical observation, and a minimum of 375 hours </w:t>
      </w:r>
      <w:r w:rsidR="00E17D0E">
        <w:rPr>
          <w:rFonts w:ascii="Times New Roman" w:eastAsia="Times New Roman" w:hAnsi="Times New Roman" w:cs="Times New Roman"/>
          <w:color w:val="333333"/>
          <w:sz w:val="24"/>
          <w:szCs w:val="24"/>
        </w:rPr>
        <w:t>of clinical experience, which may include up to 75 hours of clinical simulations</w:t>
      </w:r>
      <w:r w:rsidRPr="00F079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6A5CE29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2D63C" w14:textId="77777777" w:rsidR="00F079C8" w:rsidRDefault="00F079C8" w:rsidP="00E17D0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417F61" w14:textId="77777777" w:rsidR="00F079C8" w:rsidRPr="00F079C8" w:rsidRDefault="00F079C8" w:rsidP="00E17D0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SUMMATIVE EVALUATIONS</w:t>
      </w:r>
    </w:p>
    <w:p w14:paraId="79C0A64B" w14:textId="77777777" w:rsidR="00F079C8" w:rsidRPr="00F079C8" w:rsidRDefault="00F079C8" w:rsidP="00E17D0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B88753" w14:textId="4D704380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SPHS COMPREHENSIVE EXAMINATION: </w:t>
      </w: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All students are required to take the Comprehensive Examination</w:t>
      </w:r>
      <w:r w:rsidR="00E17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which is administered in year 2. </w:t>
      </w:r>
    </w:p>
    <w:p w14:paraId="382C7390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5A3142" w14:textId="0B0137AA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PRAXIS EXAMINATION: </w:t>
      </w: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are required to take and pass the</w:t>
      </w:r>
      <w:r w:rsidR="00E17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</w:t>
      </w: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Praxis Exam</w:t>
      </w:r>
      <w:r w:rsidR="00E17D0E">
        <w:rPr>
          <w:rFonts w:ascii="Times New Roman" w:eastAsia="Times New Roman" w:hAnsi="Times New Roman" w:cs="Times New Roman"/>
          <w:color w:val="000000"/>
          <w:sz w:val="24"/>
          <w:szCs w:val="24"/>
        </w:rPr>
        <w:t>ination in Speech-Language Pathology</w:t>
      </w: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eligible for certification</w:t>
      </w:r>
      <w:r w:rsidR="00E17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for licensure in some states, including North Carolina</w:t>
      </w: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Students </w:t>
      </w:r>
      <w:r w:rsidR="00E17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typically </w:t>
      </w: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</w:rPr>
        <w:t>take the Praxis Exam in the last semester of their program of study.</w:t>
      </w:r>
    </w:p>
    <w:p w14:paraId="4B207190" w14:textId="77777777" w:rsidR="00F079C8" w:rsidRPr="00F079C8" w:rsidRDefault="00F079C8" w:rsidP="00E1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1912E" w14:textId="77777777" w:rsidR="00F079C8" w:rsidRPr="00F079C8" w:rsidRDefault="00F079C8" w:rsidP="00E1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B72D1" w14:textId="77777777" w:rsidR="00B17833" w:rsidRPr="00F079C8" w:rsidRDefault="00B17833" w:rsidP="00E17D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910A55A" w14:textId="77777777" w:rsidR="00B17833" w:rsidRPr="00F079C8" w:rsidRDefault="00B17833" w:rsidP="00E17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A436FA" w14:textId="77777777" w:rsidR="00B17833" w:rsidRPr="00F079C8" w:rsidRDefault="00B17833" w:rsidP="00E17D0E">
      <w:pPr>
        <w:rPr>
          <w:rFonts w:ascii="Times New Roman" w:hAnsi="Times New Roman" w:cs="Times New Roman"/>
          <w:sz w:val="24"/>
          <w:szCs w:val="24"/>
        </w:rPr>
      </w:pPr>
    </w:p>
    <w:p w14:paraId="6CDDE105" w14:textId="77777777" w:rsidR="00E80F4D" w:rsidRPr="00F079C8" w:rsidRDefault="00E80F4D" w:rsidP="00E17D0E">
      <w:pPr>
        <w:rPr>
          <w:rFonts w:ascii="Times New Roman" w:hAnsi="Times New Roman" w:cs="Times New Roman"/>
          <w:sz w:val="24"/>
          <w:szCs w:val="24"/>
        </w:rPr>
      </w:pPr>
    </w:p>
    <w:sectPr w:rsidR="00E80F4D" w:rsidRPr="00F079C8">
      <w:pgSz w:w="12240" w:h="15840"/>
      <w:pgMar w:top="1442" w:right="1450" w:bottom="1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33"/>
    <w:rsid w:val="000D7DF4"/>
    <w:rsid w:val="0039220A"/>
    <w:rsid w:val="00710C72"/>
    <w:rsid w:val="00743826"/>
    <w:rsid w:val="0077113F"/>
    <w:rsid w:val="00833045"/>
    <w:rsid w:val="008346EA"/>
    <w:rsid w:val="008B254C"/>
    <w:rsid w:val="00A16AF9"/>
    <w:rsid w:val="00A4530A"/>
    <w:rsid w:val="00A57152"/>
    <w:rsid w:val="00B17833"/>
    <w:rsid w:val="00C14419"/>
    <w:rsid w:val="00E17D0E"/>
    <w:rsid w:val="00E7699C"/>
    <w:rsid w:val="00E80F4D"/>
    <w:rsid w:val="00F079C8"/>
    <w:rsid w:val="00F46672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6C78"/>
  <w15:chartTrackingRefBased/>
  <w15:docId w15:val="{CA372DFE-64F4-4269-8DB5-4FD9A77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178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17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9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5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730">
          <w:marLeft w:val="0"/>
          <w:marRight w:val="188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481">
          <w:marLeft w:val="110"/>
          <w:marRight w:val="188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4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5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Able, Harriet</dc:creator>
  <cp:keywords/>
  <dc:description/>
  <cp:lastModifiedBy>Diana, Ina</cp:lastModifiedBy>
  <cp:revision>2</cp:revision>
  <dcterms:created xsi:type="dcterms:W3CDTF">2020-01-16T18:13:00Z</dcterms:created>
  <dcterms:modified xsi:type="dcterms:W3CDTF">2020-01-16T18:13:00Z</dcterms:modified>
</cp:coreProperties>
</file>