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9647" w14:textId="623B86CE" w:rsidR="00D6595B" w:rsidRPr="009317E4" w:rsidRDefault="008725D3" w:rsidP="008725D3">
      <w:pPr>
        <w:rPr>
          <w:b/>
        </w:rPr>
      </w:pPr>
      <w:r w:rsidRPr="007D5462">
        <w:rPr>
          <w:b/>
          <w:sz w:val="24"/>
        </w:rPr>
        <w:t>Incorporating Rigor and Reproducibility into Core protocols and communications</w:t>
      </w:r>
    </w:p>
    <w:p w14:paraId="333CE8E7" w14:textId="23B4940B" w:rsidR="00D6595B" w:rsidRPr="009317E4" w:rsidRDefault="00D6595B">
      <w:r w:rsidRPr="009317E4">
        <w:t>T</w:t>
      </w:r>
      <w:r w:rsidR="00D41087">
        <w:t>he NIH</w:t>
      </w:r>
      <w:r w:rsidRPr="009317E4">
        <w:t xml:space="preserve"> mandate</w:t>
      </w:r>
      <w:r w:rsidR="00D41087">
        <w:t>s addressing</w:t>
      </w:r>
      <w:r w:rsidRPr="009317E4">
        <w:t xml:space="preserve"> Rigo</w:t>
      </w:r>
      <w:r w:rsidR="00F45D18" w:rsidRPr="009317E4">
        <w:t xml:space="preserve">r and Reproducibility in conducting biomedical research as the key to successful application of knowledge toward improving health outcomes. </w:t>
      </w:r>
      <w:r w:rsidR="00DE1855">
        <w:t xml:space="preserve">The </w:t>
      </w:r>
      <w:r w:rsidR="00E57C22">
        <w:t xml:space="preserve">UNC School of Medicine Office of Research </w:t>
      </w:r>
      <w:r w:rsidR="00D41087">
        <w:t>Technologies</w:t>
      </w:r>
      <w:r w:rsidR="00E57C22">
        <w:t xml:space="preserve"> would like to be a leader in best practices in research transparency, authentication of key biological variables and scientific rigor.</w:t>
      </w:r>
      <w:r w:rsidRPr="009317E4">
        <w:t xml:space="preserve"> As Shared Resource </w:t>
      </w:r>
      <w:r w:rsidR="00D41087">
        <w:t xml:space="preserve">Facility </w:t>
      </w:r>
      <w:r w:rsidRPr="009317E4">
        <w:t>Directors, it is our responsibility to:</w:t>
      </w:r>
    </w:p>
    <w:p w14:paraId="42BFA7DB" w14:textId="6DF94C5E" w:rsidR="00D6595B" w:rsidRPr="009317E4" w:rsidRDefault="00D6595B" w:rsidP="00D6595B">
      <w:pPr>
        <w:pStyle w:val="ListParagraph"/>
        <w:numPr>
          <w:ilvl w:val="0"/>
          <w:numId w:val="1"/>
        </w:numPr>
      </w:pPr>
      <w:r w:rsidRPr="009317E4">
        <w:t xml:space="preserve">Assure </w:t>
      </w:r>
      <w:r w:rsidR="009F5706">
        <w:t>our</w:t>
      </w:r>
      <w:r w:rsidR="009F5706" w:rsidRPr="009317E4">
        <w:t xml:space="preserve"> </w:t>
      </w:r>
      <w:r w:rsidRPr="009317E4">
        <w:t>user</w:t>
      </w:r>
      <w:r w:rsidR="009F5706">
        <w:t>s</w:t>
      </w:r>
      <w:r w:rsidRPr="009317E4">
        <w:t xml:space="preserve"> that the highest level</w:t>
      </w:r>
      <w:r w:rsidR="000D7648">
        <w:t>s</w:t>
      </w:r>
      <w:r w:rsidRPr="009317E4">
        <w:t xml:space="preserve"> of </w:t>
      </w:r>
      <w:r w:rsidR="009F5706">
        <w:t xml:space="preserve">practice of </w:t>
      </w:r>
      <w:r w:rsidRPr="009317E4">
        <w:t>Rigor and Reproducibility are incorporated into each core</w:t>
      </w:r>
      <w:r w:rsidR="000D7648">
        <w:t xml:space="preserve"> facility</w:t>
      </w:r>
      <w:r w:rsidRPr="009317E4">
        <w:t>.</w:t>
      </w:r>
    </w:p>
    <w:p w14:paraId="4D975067" w14:textId="77777777" w:rsidR="00D6595B" w:rsidRPr="009317E4" w:rsidRDefault="00D6595B" w:rsidP="00D6595B">
      <w:pPr>
        <w:pStyle w:val="ListParagraph"/>
        <w:numPr>
          <w:ilvl w:val="0"/>
          <w:numId w:val="1"/>
        </w:numPr>
      </w:pPr>
      <w:r w:rsidRPr="009317E4">
        <w:t>Assist investigators to incorporate these best practices into their research</w:t>
      </w:r>
    </w:p>
    <w:p w14:paraId="40F46313" w14:textId="77777777" w:rsidR="00D6595B" w:rsidRPr="009317E4" w:rsidRDefault="00D6595B" w:rsidP="00D6595B">
      <w:pPr>
        <w:pStyle w:val="ListParagraph"/>
        <w:numPr>
          <w:ilvl w:val="0"/>
          <w:numId w:val="1"/>
        </w:numPr>
      </w:pPr>
      <w:r w:rsidRPr="009317E4">
        <w:t>Assist investigators to incorporate this information into their grant proposals</w:t>
      </w:r>
    </w:p>
    <w:p w14:paraId="7A8999B4" w14:textId="77777777" w:rsidR="00D6595B" w:rsidRPr="009317E4" w:rsidRDefault="00D6595B" w:rsidP="00D6595B">
      <w:pPr>
        <w:pStyle w:val="ListParagraph"/>
        <w:numPr>
          <w:ilvl w:val="0"/>
          <w:numId w:val="1"/>
        </w:numPr>
      </w:pPr>
      <w:r w:rsidRPr="009317E4">
        <w:t xml:space="preserve">Provide clear evidence to the research community that these practices are in place. </w:t>
      </w:r>
    </w:p>
    <w:p w14:paraId="0BDA8B60" w14:textId="77777777" w:rsidR="00D6595B" w:rsidRPr="009317E4" w:rsidRDefault="00D6595B">
      <w:pPr>
        <w:rPr>
          <w:b/>
        </w:rPr>
      </w:pPr>
      <w:r w:rsidRPr="009317E4">
        <w:rPr>
          <w:b/>
        </w:rPr>
        <w:t>What you can do:</w:t>
      </w:r>
    </w:p>
    <w:p w14:paraId="5A219473" w14:textId="77777777" w:rsidR="00D6595B" w:rsidRPr="009317E4" w:rsidRDefault="00D6595B" w:rsidP="0083774B">
      <w:pPr>
        <w:pStyle w:val="ListParagraph"/>
        <w:numPr>
          <w:ilvl w:val="0"/>
          <w:numId w:val="5"/>
        </w:numPr>
      </w:pPr>
      <w:r w:rsidRPr="00E57C22">
        <w:rPr>
          <w:b/>
        </w:rPr>
        <w:t>Include a Rigor and Reproducibility page on your website</w:t>
      </w:r>
      <w:r w:rsidR="00E57C22" w:rsidRPr="00E57C22">
        <w:rPr>
          <w:b/>
        </w:rPr>
        <w:t>.</w:t>
      </w:r>
      <w:r w:rsidR="00E57C22">
        <w:t xml:space="preserve"> Include links to</w:t>
      </w:r>
      <w:r w:rsidRPr="009317E4">
        <w:t xml:space="preserve"> resources for your user base to </w:t>
      </w:r>
      <w:r w:rsidR="009317E4" w:rsidRPr="009317E4">
        <w:t xml:space="preserve">show that your core is adhering to best practices in your field and to assist investigators to enhance Rigor and Reproducibility in their research. </w:t>
      </w:r>
      <w:r w:rsidR="00E57C22">
        <w:t xml:space="preserve">Demonstrate transparency and assure reproducibility. </w:t>
      </w:r>
      <w:r w:rsidR="0083774B">
        <w:t xml:space="preserve"> For example: </w:t>
      </w:r>
      <w:hyperlink r:id="rId5" w:history="1">
        <w:r w:rsidR="0083774B" w:rsidRPr="00F11BEE">
          <w:rPr>
            <w:rStyle w:val="Hyperlink"/>
          </w:rPr>
          <w:t>http://www.med.unc.edu/flowcytometry/resources-2/guide-to-rigor-and-reproducibility-for-flow-cytometry-experiments</w:t>
        </w:r>
      </w:hyperlink>
      <w:r w:rsidR="0083774B">
        <w:t xml:space="preserve"> </w:t>
      </w:r>
    </w:p>
    <w:p w14:paraId="5548F0EB" w14:textId="77777777" w:rsidR="009317E4" w:rsidRPr="009317E4" w:rsidRDefault="00F45D18" w:rsidP="009317E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9317E4">
        <w:rPr>
          <w:rFonts w:asciiTheme="minorHAnsi" w:hAnsiTheme="minorHAnsi"/>
          <w:sz w:val="22"/>
          <w:szCs w:val="22"/>
        </w:rPr>
        <w:t>For instance, the</w:t>
      </w:r>
      <w:r w:rsidR="009317E4" w:rsidRPr="009317E4">
        <w:rPr>
          <w:rFonts w:asciiTheme="minorHAnsi" w:hAnsiTheme="minorHAnsi"/>
          <w:sz w:val="22"/>
          <w:szCs w:val="22"/>
        </w:rPr>
        <w:t>re are</w:t>
      </w:r>
      <w:r w:rsidRPr="009317E4">
        <w:rPr>
          <w:rFonts w:asciiTheme="minorHAnsi" w:hAnsiTheme="minorHAnsi"/>
          <w:sz w:val="22"/>
          <w:szCs w:val="22"/>
        </w:rPr>
        <w:t xml:space="preserve"> guideline</w:t>
      </w:r>
      <w:r w:rsidR="009317E4" w:rsidRPr="009317E4">
        <w:rPr>
          <w:rFonts w:asciiTheme="minorHAnsi" w:hAnsiTheme="minorHAnsi"/>
          <w:sz w:val="22"/>
          <w:szCs w:val="22"/>
        </w:rPr>
        <w:t>s</w:t>
      </w:r>
      <w:r w:rsidRPr="009317E4">
        <w:rPr>
          <w:rFonts w:asciiTheme="minorHAnsi" w:hAnsiTheme="minorHAnsi"/>
          <w:sz w:val="22"/>
          <w:szCs w:val="22"/>
        </w:rPr>
        <w:t xml:space="preserve"> for </w:t>
      </w:r>
      <w:r w:rsidR="00C14FC4" w:rsidRPr="009317E4">
        <w:rPr>
          <w:rFonts w:asciiTheme="minorHAnsi" w:hAnsiTheme="minorHAnsi"/>
          <w:sz w:val="22"/>
          <w:szCs w:val="22"/>
        </w:rPr>
        <w:t xml:space="preserve">establishing best practices: </w:t>
      </w:r>
    </w:p>
    <w:p w14:paraId="6A4F4BD9" w14:textId="77777777" w:rsidR="00C14FC4" w:rsidRPr="009317E4" w:rsidRDefault="00C14FC4" w:rsidP="009317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444444"/>
          <w:sz w:val="22"/>
          <w:szCs w:val="22"/>
        </w:rPr>
      </w:pPr>
      <w:r w:rsidRPr="009317E4">
        <w:rPr>
          <w:rFonts w:asciiTheme="minorHAnsi" w:hAnsiTheme="minorHAnsi"/>
          <w:color w:val="444444"/>
          <w:sz w:val="22"/>
          <w:szCs w:val="22"/>
        </w:rPr>
        <w:t>Description of biological material with enough information to uniquely identify the reagents (for example unique accession number in repository), in particular for:</w:t>
      </w:r>
    </w:p>
    <w:p w14:paraId="7F1DB3EC" w14:textId="77777777" w:rsidR="00C14FC4" w:rsidRPr="00C14FC4" w:rsidRDefault="009317E4" w:rsidP="009317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444444"/>
        </w:rPr>
      </w:pPr>
      <w:r w:rsidRPr="009317E4">
        <w:rPr>
          <w:rFonts w:eastAsia="Times New Roman" w:cs="Times New Roman"/>
          <w:color w:val="444444"/>
        </w:rPr>
        <w:t>A</w:t>
      </w:r>
      <w:r w:rsidR="00C14FC4" w:rsidRPr="00C14FC4">
        <w:rPr>
          <w:rFonts w:eastAsia="Times New Roman" w:cs="Times New Roman"/>
          <w:color w:val="444444"/>
        </w:rPr>
        <w:t>ntibodies: also report source, characteristics, dilutions and how they were validated</w:t>
      </w:r>
    </w:p>
    <w:p w14:paraId="318C5ABF" w14:textId="77777777" w:rsidR="00C14FC4" w:rsidRPr="00C14FC4" w:rsidRDefault="009317E4" w:rsidP="009317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444444"/>
        </w:rPr>
      </w:pPr>
      <w:r w:rsidRPr="009317E4">
        <w:rPr>
          <w:rFonts w:eastAsia="Times New Roman" w:cs="Times New Roman"/>
          <w:color w:val="444444"/>
        </w:rPr>
        <w:t>C</w:t>
      </w:r>
      <w:r w:rsidR="00C14FC4" w:rsidRPr="00C14FC4">
        <w:rPr>
          <w:rFonts w:eastAsia="Times New Roman" w:cs="Times New Roman"/>
          <w:color w:val="444444"/>
        </w:rPr>
        <w:t>ell lines: also report source, authentication and mycoplasma contamination status</w:t>
      </w:r>
    </w:p>
    <w:p w14:paraId="70822E85" w14:textId="77777777" w:rsidR="00C14FC4" w:rsidRPr="009317E4" w:rsidRDefault="009317E4" w:rsidP="009317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444444"/>
        </w:rPr>
      </w:pPr>
      <w:r w:rsidRPr="009317E4">
        <w:rPr>
          <w:rFonts w:eastAsia="Times New Roman" w:cs="Times New Roman"/>
          <w:color w:val="444444"/>
        </w:rPr>
        <w:t>A</w:t>
      </w:r>
      <w:r w:rsidR="00C14FC4" w:rsidRPr="00C14FC4">
        <w:rPr>
          <w:rFonts w:eastAsia="Times New Roman" w:cs="Times New Roman"/>
          <w:color w:val="444444"/>
        </w:rPr>
        <w:t>nimals: also report source, species, strain, sex, age, husbandry, inbred and strain characteristics of transgenic animals</w:t>
      </w:r>
    </w:p>
    <w:p w14:paraId="4D3F9C0D" w14:textId="77777777" w:rsidR="009317E4" w:rsidRPr="009317E4" w:rsidRDefault="009317E4" w:rsidP="009317E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444444"/>
        </w:rPr>
      </w:pPr>
      <w:r w:rsidRPr="009317E4">
        <w:rPr>
          <w:rFonts w:eastAsia="Times New Roman" w:cs="Times New Roman"/>
          <w:color w:val="444444"/>
        </w:rPr>
        <w:t>Consideration of sex and other relevant biological variables</w:t>
      </w:r>
    </w:p>
    <w:p w14:paraId="1C5282C1" w14:textId="77777777" w:rsidR="00C14FC4" w:rsidRPr="009317E4" w:rsidRDefault="00C14FC4" w:rsidP="009317E4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hanging="720"/>
        <w:rPr>
          <w:rFonts w:eastAsia="Times New Roman" w:cs="Times New Roman"/>
          <w:color w:val="444444"/>
        </w:rPr>
      </w:pPr>
      <w:r w:rsidRPr="009317E4">
        <w:rPr>
          <w:rFonts w:eastAsia="Times New Roman" w:cs="Times New Roman"/>
          <w:color w:val="444444"/>
        </w:rPr>
        <w:t>Statistical Analysis</w:t>
      </w:r>
    </w:p>
    <w:p w14:paraId="246EEC66" w14:textId="77777777" w:rsidR="00C14FC4" w:rsidRPr="009317E4" w:rsidRDefault="00C14FC4" w:rsidP="009317E4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hanging="720"/>
        <w:rPr>
          <w:rFonts w:eastAsia="Times New Roman" w:cs="Times New Roman"/>
          <w:color w:val="444444"/>
        </w:rPr>
      </w:pPr>
      <w:r w:rsidRPr="009317E4">
        <w:rPr>
          <w:rFonts w:eastAsia="Times New Roman" w:cs="Times New Roman"/>
          <w:color w:val="444444"/>
        </w:rPr>
        <w:t>Transparency in reporting</w:t>
      </w:r>
    </w:p>
    <w:p w14:paraId="4E6FC711" w14:textId="77777777" w:rsidR="00C14FC4" w:rsidRPr="009317E4" w:rsidRDefault="00C14FC4" w:rsidP="009317E4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hanging="720"/>
        <w:rPr>
          <w:rFonts w:eastAsia="Times New Roman" w:cs="Times New Roman"/>
          <w:color w:val="444444"/>
        </w:rPr>
      </w:pPr>
      <w:r w:rsidRPr="009317E4">
        <w:rPr>
          <w:rFonts w:eastAsia="Times New Roman" w:cs="Times New Roman"/>
          <w:color w:val="444444"/>
        </w:rPr>
        <w:t>Data and material sharing</w:t>
      </w:r>
    </w:p>
    <w:p w14:paraId="3134B1FD" w14:textId="77777777" w:rsidR="00C14FC4" w:rsidRDefault="009317E4" w:rsidP="009317E4">
      <w:pPr>
        <w:pStyle w:val="ListParagraph"/>
        <w:numPr>
          <w:ilvl w:val="0"/>
          <w:numId w:val="5"/>
        </w:numPr>
        <w:shd w:val="clear" w:color="auto" w:fill="FFFFFF"/>
        <w:spacing w:before="120" w:after="240" w:line="240" w:lineRule="auto"/>
        <w:rPr>
          <w:rFonts w:eastAsia="Times New Roman" w:cs="Times New Roman"/>
          <w:color w:val="444444"/>
        </w:rPr>
      </w:pPr>
      <w:r w:rsidRPr="00E57C22">
        <w:rPr>
          <w:rFonts w:eastAsia="Times New Roman" w:cs="Times New Roman"/>
          <w:b/>
          <w:color w:val="444444"/>
        </w:rPr>
        <w:t xml:space="preserve">Steer your users/investigators to the NIH page on Rigor and Reproducibility:  </w:t>
      </w:r>
      <w:hyperlink r:id="rId6" w:history="1">
        <w:r w:rsidRPr="009317E4">
          <w:rPr>
            <w:rStyle w:val="Hyperlink"/>
            <w:rFonts w:eastAsia="Times New Roman" w:cs="Times New Roman"/>
          </w:rPr>
          <w:t>https://grants.nih.gov/reproducibility/index.htm</w:t>
        </w:r>
      </w:hyperlink>
      <w:r w:rsidRPr="009317E4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 xml:space="preserve"> </w:t>
      </w:r>
    </w:p>
    <w:p w14:paraId="4D9D1671" w14:textId="77777777" w:rsidR="009317E4" w:rsidRPr="009317E4" w:rsidRDefault="009317E4" w:rsidP="009317E4">
      <w:pPr>
        <w:pStyle w:val="ListParagraph"/>
        <w:shd w:val="clear" w:color="auto" w:fill="FFFFFF"/>
        <w:spacing w:before="120" w:after="240" w:line="240" w:lineRule="auto"/>
        <w:rPr>
          <w:rFonts w:eastAsia="Times New Roman" w:cs="Times New Roman"/>
          <w:color w:val="444444"/>
        </w:rPr>
      </w:pPr>
    </w:p>
    <w:p w14:paraId="1E72DD98" w14:textId="77777777" w:rsidR="009317E4" w:rsidRPr="00E57C22" w:rsidRDefault="009317E4" w:rsidP="009317E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92" w:line="240" w:lineRule="auto"/>
        <w:rPr>
          <w:rFonts w:eastAsia="Times New Roman" w:cs="Times New Roman"/>
          <w:b/>
          <w:color w:val="444444"/>
        </w:rPr>
      </w:pPr>
      <w:r w:rsidRPr="00E57C22">
        <w:rPr>
          <w:rFonts w:eastAsia="Times New Roman" w:cs="Times New Roman"/>
          <w:b/>
          <w:color w:val="444444"/>
        </w:rPr>
        <w:t>Ask your customers how you can help them with experimental design, data analysis, publication and grant preparation to assure they are including all the</w:t>
      </w:r>
      <w:r w:rsidR="00D41087">
        <w:rPr>
          <w:rFonts w:eastAsia="Times New Roman" w:cs="Times New Roman"/>
          <w:b/>
          <w:color w:val="444444"/>
        </w:rPr>
        <w:t xml:space="preserve"> most up to date</w:t>
      </w:r>
      <w:r w:rsidRPr="00E57C22">
        <w:rPr>
          <w:rFonts w:eastAsia="Times New Roman" w:cs="Times New Roman"/>
          <w:b/>
          <w:color w:val="444444"/>
        </w:rPr>
        <w:t xml:space="preserve"> best practices and relevant information. </w:t>
      </w:r>
    </w:p>
    <w:p w14:paraId="37ABE351" w14:textId="77777777" w:rsidR="00F45D18" w:rsidRDefault="00C14FC4">
      <w:r>
        <w:t xml:space="preserve"> </w:t>
      </w:r>
      <w:r w:rsidR="008725D3">
        <w:t>Please let me know if you would like assistance in this process.</w:t>
      </w:r>
    </w:p>
    <w:p w14:paraId="583C5EC2" w14:textId="77777777" w:rsidR="008725D3" w:rsidRDefault="008725D3">
      <w:r>
        <w:t>Best regards,</w:t>
      </w:r>
    </w:p>
    <w:p w14:paraId="1F0C2B7E" w14:textId="77777777" w:rsidR="008725D3" w:rsidRDefault="008725D3" w:rsidP="008725D3">
      <w:pPr>
        <w:spacing w:after="0"/>
      </w:pPr>
      <w:r>
        <w:t>Nancy Fisher, Ph.D., Director, UNC Flow Cytometry Core Facility</w:t>
      </w:r>
    </w:p>
    <w:p w14:paraId="30ED53A5" w14:textId="4C26DB1A" w:rsidR="008725D3" w:rsidRDefault="008725D3" w:rsidP="008725D3">
      <w:pPr>
        <w:spacing w:after="0"/>
      </w:pPr>
      <w:r>
        <w:t>Assistant Director for Core Development</w:t>
      </w:r>
    </w:p>
    <w:p w14:paraId="09B05DE0" w14:textId="0764DA8A" w:rsidR="00521F35" w:rsidRDefault="00521F35" w:rsidP="008725D3">
      <w:pPr>
        <w:spacing w:after="0"/>
      </w:pPr>
      <w:r>
        <w:t>Office of Research</w:t>
      </w:r>
    </w:p>
    <w:p w14:paraId="1BAEB6BD" w14:textId="77777777" w:rsidR="00F45D18" w:rsidRPr="008725D3" w:rsidRDefault="00F45D18">
      <w:pPr>
        <w:rPr>
          <w:b/>
        </w:rPr>
      </w:pPr>
      <w:bookmarkStart w:id="0" w:name="_GoBack"/>
      <w:bookmarkEnd w:id="0"/>
    </w:p>
    <w:p w14:paraId="18A52350" w14:textId="77777777" w:rsidR="00F45D18" w:rsidRDefault="00F45D18">
      <w:pPr>
        <w:rPr>
          <w:b/>
        </w:rPr>
      </w:pPr>
      <w:r w:rsidRPr="008725D3">
        <w:rPr>
          <w:b/>
        </w:rPr>
        <w:lastRenderedPageBreak/>
        <w:t>Resources:</w:t>
      </w:r>
    </w:p>
    <w:p w14:paraId="124885D0" w14:textId="77777777" w:rsidR="0083774B" w:rsidRPr="0083774B" w:rsidRDefault="0083774B">
      <w:pPr>
        <w:rPr>
          <w:b/>
          <w:color w:val="1F4E79" w:themeColor="accent1" w:themeShade="80"/>
        </w:rPr>
      </w:pPr>
      <w:r w:rsidRPr="0083774B">
        <w:rPr>
          <w:rStyle w:val="Strong"/>
          <w:b w:val="0"/>
          <w:bCs w:val="0"/>
          <w:color w:val="000000"/>
          <w:shd w:val="clear" w:color="auto" w:fill="FFFFFF"/>
        </w:rPr>
        <w:t>Learn about the</w:t>
      </w:r>
      <w:r w:rsidRPr="0083774B">
        <w:rPr>
          <w:rStyle w:val="apple-converted-space"/>
          <w:color w:val="000000"/>
          <w:shd w:val="clear" w:color="auto" w:fill="FFFFFF"/>
        </w:rPr>
        <w:t> </w:t>
      </w:r>
      <w:hyperlink r:id="rId7" w:tgtFrame="_blank" w:history="1">
        <w:r w:rsidRPr="0083774B">
          <w:rPr>
            <w:rStyle w:val="Hyperlink"/>
            <w:color w:val="1F4E79" w:themeColor="accent1" w:themeShade="80"/>
            <w:shd w:val="clear" w:color="auto" w:fill="FFFFFF"/>
          </w:rPr>
          <w:t>NIH Initiative to Enhance Reproducibility through Rigor and Transparency</w:t>
        </w:r>
      </w:hyperlink>
      <w:r w:rsidRPr="0083774B">
        <w:rPr>
          <w:color w:val="1F4E79" w:themeColor="accent1" w:themeShade="80"/>
          <w:shd w:val="clear" w:color="auto" w:fill="FFFFFF"/>
        </w:rPr>
        <w:t>.  (</w:t>
      </w:r>
      <w:hyperlink r:id="rId8" w:tgtFrame="_blank" w:history="1">
        <w:r w:rsidRPr="0083774B">
          <w:rPr>
            <w:rStyle w:val="Hyperlink"/>
            <w:color w:val="1F4E79" w:themeColor="accent1" w:themeShade="80"/>
            <w:shd w:val="clear" w:color="auto" w:fill="FFFFFF"/>
          </w:rPr>
          <w:t>Video</w:t>
        </w:r>
      </w:hyperlink>
      <w:r w:rsidRPr="0083774B">
        <w:rPr>
          <w:color w:val="1F4E79" w:themeColor="accent1" w:themeShade="80"/>
          <w:u w:val="single"/>
          <w:shd w:val="clear" w:color="auto" w:fill="FFFFFF"/>
        </w:rPr>
        <w:t>)</w:t>
      </w:r>
    </w:p>
    <w:p w14:paraId="03423690" w14:textId="77777777" w:rsidR="00F45D18" w:rsidRDefault="00F45D18">
      <w:r>
        <w:t xml:space="preserve">Principles and Guidelines for reporting preclinical research </w:t>
      </w:r>
      <w:hyperlink r:id="rId9" w:history="1">
        <w:r w:rsidRPr="00F11BEE">
          <w:rPr>
            <w:rStyle w:val="Hyperlink"/>
          </w:rPr>
          <w:t>https://www.nih.gov/research-training/rigor-reproducibility/principles-guidelines-reporting-preclinical-research</w:t>
        </w:r>
      </w:hyperlink>
      <w:r>
        <w:t xml:space="preserve"> </w:t>
      </w:r>
    </w:p>
    <w:p w14:paraId="1E33D60E" w14:textId="77777777" w:rsidR="00F45D18" w:rsidRDefault="00F45D18">
      <w:r>
        <w:t xml:space="preserve">Endorsements:  </w:t>
      </w:r>
      <w:hyperlink r:id="rId10" w:history="1">
        <w:r w:rsidRPr="00F11BEE">
          <w:rPr>
            <w:rStyle w:val="Hyperlink"/>
          </w:rPr>
          <w:t>https://www.nih.gov/sites/default/files/research-training/initiatives/reproducibility/rigor-reproducibility-endorsements.pdf</w:t>
        </w:r>
      </w:hyperlink>
      <w:r>
        <w:t xml:space="preserve"> </w:t>
      </w:r>
    </w:p>
    <w:p w14:paraId="45A7A337" w14:textId="77777777" w:rsidR="00F45D18" w:rsidRDefault="00F45D18">
      <w:r>
        <w:t xml:space="preserve">NIH Rigor and Reproducibility: </w:t>
      </w:r>
      <w:hyperlink r:id="rId11" w:history="1">
        <w:r w:rsidRPr="00F11BEE">
          <w:rPr>
            <w:rStyle w:val="Hyperlink"/>
          </w:rPr>
          <w:t>https://www.nih.gov/research-training/rigor-reproducibility</w:t>
        </w:r>
      </w:hyperlink>
      <w:r>
        <w:t xml:space="preserve"> </w:t>
      </w:r>
    </w:p>
    <w:p w14:paraId="4B2D5470" w14:textId="77777777" w:rsidR="00F45D18" w:rsidRDefault="00F45D18">
      <w:r>
        <w:t xml:space="preserve">NIH Grants and Funding page on Rigor and Reproducibility:  </w:t>
      </w:r>
      <w:hyperlink r:id="rId12" w:history="1">
        <w:r w:rsidRPr="00F11BEE">
          <w:rPr>
            <w:rStyle w:val="Hyperlink"/>
          </w:rPr>
          <w:t>https://grants.nih.gov/reproducibility/index.htm</w:t>
        </w:r>
      </w:hyperlink>
    </w:p>
    <w:p w14:paraId="250D3643" w14:textId="77777777" w:rsidR="009317E4" w:rsidRPr="009317E4" w:rsidRDefault="00D41087">
      <w:r>
        <w:t xml:space="preserve">Grant </w:t>
      </w:r>
      <w:r w:rsidR="009317E4">
        <w:t xml:space="preserve">Application instructions: </w:t>
      </w:r>
      <w:hyperlink r:id="rId13" w:history="1">
        <w:r w:rsidR="009317E4" w:rsidRPr="00F11BEE">
          <w:rPr>
            <w:rStyle w:val="Hyperlink"/>
          </w:rPr>
          <w:t>https://www.nih.gov/research-training/rigor-reproducibility/updated-application-instructions-enhance-rigor-reproducibility</w:t>
        </w:r>
      </w:hyperlink>
      <w:r w:rsidR="009317E4">
        <w:t xml:space="preserve"> </w:t>
      </w:r>
    </w:p>
    <w:p w14:paraId="06E77F8F" w14:textId="77777777" w:rsidR="00F45D18" w:rsidRDefault="00521F35">
      <w:hyperlink r:id="rId14" w:anchor="guidance" w:history="1">
        <w:r w:rsidR="00F45D18" w:rsidRPr="00F11BEE">
          <w:rPr>
            <w:rStyle w:val="Hyperlink"/>
          </w:rPr>
          <w:t>https://grants.nih.gov/reproducibility/index.htm#guidance</w:t>
        </w:r>
      </w:hyperlink>
    </w:p>
    <w:p w14:paraId="7A1554E8" w14:textId="77777777" w:rsidR="00C14FC4" w:rsidRDefault="00C14FC4">
      <w:r>
        <w:t xml:space="preserve">Guidelines for Reproducibility of Biophysics Research (Biophysical Society) </w:t>
      </w:r>
      <w:hyperlink r:id="rId15" w:history="1">
        <w:r w:rsidRPr="00F11BEE">
          <w:rPr>
            <w:rStyle w:val="Hyperlink"/>
          </w:rPr>
          <w:t>http://www.cell.com/pb/assets/raw/journals/society/biophysj/PDFs/reproducibility-guidelines.pdf</w:t>
        </w:r>
      </w:hyperlink>
      <w:r>
        <w:t xml:space="preserve"> </w:t>
      </w:r>
    </w:p>
    <w:p w14:paraId="1F673ED2" w14:textId="77777777" w:rsidR="00C14FC4" w:rsidRDefault="00C14FC4">
      <w:r>
        <w:t xml:space="preserve">STRENDA guidelines: Standards for Reporting Enzymology Data:  </w:t>
      </w:r>
      <w:hyperlink r:id="rId16" w:history="1">
        <w:r w:rsidRPr="00F11BEE">
          <w:rPr>
            <w:rStyle w:val="Hyperlink"/>
          </w:rPr>
          <w:t>http://www.beilstein-institut.de/en/projects/strenda/guidelines</w:t>
        </w:r>
      </w:hyperlink>
    </w:p>
    <w:p w14:paraId="56E1BF8D" w14:textId="77777777" w:rsidR="00C14FC4" w:rsidRDefault="00C14FC4">
      <w:r>
        <w:t xml:space="preserve">Guide to Rigor and Reproducibility for Flow Cytometry </w:t>
      </w:r>
      <w:r w:rsidR="00D41087">
        <w:t>experiments</w:t>
      </w:r>
      <w:r>
        <w:t xml:space="preserve">: </w:t>
      </w:r>
      <w:hyperlink r:id="rId17" w:history="1">
        <w:r w:rsidRPr="00F11BEE">
          <w:rPr>
            <w:rStyle w:val="Hyperlink"/>
          </w:rPr>
          <w:t>https://www.med.unc.edu/flowcytometry/resources-2/guide-to-rigor-and-reproducibility-for-flow-cytometry-experiments</w:t>
        </w:r>
      </w:hyperlink>
      <w:r>
        <w:t xml:space="preserve"> </w:t>
      </w:r>
    </w:p>
    <w:p w14:paraId="2D7E6615" w14:textId="77777777" w:rsidR="00C14FC4" w:rsidRDefault="00C14FC4"/>
    <w:p w14:paraId="651EEFA5" w14:textId="77777777" w:rsidR="00C14FC4" w:rsidRDefault="00C14FC4">
      <w:r w:rsidRPr="009317E4">
        <w:rPr>
          <w:b/>
        </w:rPr>
        <w:t>Get involved:</w:t>
      </w:r>
      <w:r>
        <w:t xml:space="preserve"> Association for Biomolecular Resource Facilities (ABRF) Committee for Core Rigor and Reproducibility (</w:t>
      </w:r>
      <w:proofErr w:type="spellStart"/>
      <w:r>
        <w:t>CCoRRE</w:t>
      </w:r>
      <w:proofErr w:type="spellEnd"/>
      <w:r>
        <w:t xml:space="preserve">) </w:t>
      </w:r>
      <w:r w:rsidR="009317E4">
        <w:t xml:space="preserve">  </w:t>
      </w:r>
      <w:hyperlink r:id="rId18" w:history="1">
        <w:r w:rsidR="009317E4" w:rsidRPr="00F11BEE">
          <w:rPr>
            <w:rStyle w:val="Hyperlink"/>
          </w:rPr>
          <w:t>https://abrf.org/committee/committee-core-rigor-and-reproducibility-ccorre</w:t>
        </w:r>
      </w:hyperlink>
      <w:r w:rsidR="009317E4">
        <w:t xml:space="preserve">  </w:t>
      </w:r>
    </w:p>
    <w:p w14:paraId="6EDC79BC" w14:textId="77777777" w:rsidR="00C14FC4" w:rsidRDefault="00C14FC4"/>
    <w:p w14:paraId="1B37179C" w14:textId="77777777" w:rsidR="00F45D18" w:rsidRDefault="00F45D18"/>
    <w:p w14:paraId="2B918E52" w14:textId="77777777" w:rsidR="00F45D18" w:rsidRDefault="00F45D18"/>
    <w:p w14:paraId="0A0DA0AE" w14:textId="77777777" w:rsidR="00F45D18" w:rsidRDefault="00F45D18"/>
    <w:sectPr w:rsidR="00F4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FF1"/>
    <w:multiLevelType w:val="multilevel"/>
    <w:tmpl w:val="9CB8A7D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1205F"/>
    <w:multiLevelType w:val="hybridMultilevel"/>
    <w:tmpl w:val="BD9A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6FF5"/>
    <w:multiLevelType w:val="hybridMultilevel"/>
    <w:tmpl w:val="D39A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904B1"/>
    <w:multiLevelType w:val="multilevel"/>
    <w:tmpl w:val="48369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D4901"/>
    <w:multiLevelType w:val="hybridMultilevel"/>
    <w:tmpl w:val="8380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B"/>
    <w:rsid w:val="000D7648"/>
    <w:rsid w:val="001C0B03"/>
    <w:rsid w:val="002F2A7C"/>
    <w:rsid w:val="00521F35"/>
    <w:rsid w:val="005C1E6F"/>
    <w:rsid w:val="0083774B"/>
    <w:rsid w:val="008725D3"/>
    <w:rsid w:val="009317E4"/>
    <w:rsid w:val="009F5706"/>
    <w:rsid w:val="00B57F21"/>
    <w:rsid w:val="00BB536A"/>
    <w:rsid w:val="00C14FC4"/>
    <w:rsid w:val="00C91DA1"/>
    <w:rsid w:val="00CB70A3"/>
    <w:rsid w:val="00D41087"/>
    <w:rsid w:val="00D6595B"/>
    <w:rsid w:val="00D728D2"/>
    <w:rsid w:val="00DE1855"/>
    <w:rsid w:val="00E57C22"/>
    <w:rsid w:val="00F4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E6BB2"/>
  <w15:docId w15:val="{CCBB9971-3B9B-4E27-8333-5D48DF0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D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74B"/>
    <w:rPr>
      <w:b/>
      <w:bCs/>
    </w:rPr>
  </w:style>
  <w:style w:type="character" w:customStyle="1" w:styleId="apple-converted-space">
    <w:name w:val="apple-converted-space"/>
    <w:basedOn w:val="DefaultParagraphFont"/>
    <w:rsid w:val="0083774B"/>
  </w:style>
  <w:style w:type="character" w:styleId="FollowedHyperlink">
    <w:name w:val="FollowedHyperlink"/>
    <w:basedOn w:val="DefaultParagraphFont"/>
    <w:uiPriority w:val="99"/>
    <w:semiHidden/>
    <w:unhideWhenUsed/>
    <w:rsid w:val="008377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4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2A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A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A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A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policy/rigor/NIH_Policy_Rigor_For_Reviewers/presentation.html" TargetMode="External"/><Relationship Id="rId13" Type="http://schemas.openxmlformats.org/officeDocument/2006/relationships/hyperlink" Target="https://www.nih.gov/research-training/rigor-reproducibility/updated-application-instructions-enhance-rigor-reproducibility" TargetMode="External"/><Relationship Id="rId18" Type="http://schemas.openxmlformats.org/officeDocument/2006/relationships/hyperlink" Target="https://abrf.org/committee/committee-core-rigor-and-reproducibility-ccor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reproducibility/index.htm" TargetMode="External"/><Relationship Id="rId12" Type="http://schemas.openxmlformats.org/officeDocument/2006/relationships/hyperlink" Target="https://grants.nih.gov/reproducibility/index.htm" TargetMode="External"/><Relationship Id="rId17" Type="http://schemas.openxmlformats.org/officeDocument/2006/relationships/hyperlink" Target="https://www.med.unc.edu/flowcytometry/resources-2/guide-to-rigor-and-reproducibility-for-flow-cytometry-experim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ilstein-institut.de/en/projects/strenda/guidelin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reproducibility/index.htm" TargetMode="External"/><Relationship Id="rId11" Type="http://schemas.openxmlformats.org/officeDocument/2006/relationships/hyperlink" Target="https://www.nih.gov/research-training/rigor-reproducibility" TargetMode="External"/><Relationship Id="rId5" Type="http://schemas.openxmlformats.org/officeDocument/2006/relationships/hyperlink" Target="http://www.med.unc.edu/flowcytometry/resources-2/guide-to-rigor-and-reproducibility-for-flow-cytometry-experiments" TargetMode="External"/><Relationship Id="rId15" Type="http://schemas.openxmlformats.org/officeDocument/2006/relationships/hyperlink" Target="http://www.cell.com/pb/assets/raw/journals/society/biophysj/PDFs/reproducibility-guidelines.pdf" TargetMode="External"/><Relationship Id="rId10" Type="http://schemas.openxmlformats.org/officeDocument/2006/relationships/hyperlink" Target="https://www.nih.gov/sites/default/files/research-training/initiatives/reproducibility/rigor-reproducibility-endorsement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h.gov/research-training/rigor-reproducibility/principles-guidelines-reporting-preclinical-research" TargetMode="External"/><Relationship Id="rId14" Type="http://schemas.openxmlformats.org/officeDocument/2006/relationships/hyperlink" Target="https://grants.nih.gov/reproducibility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Nancy C</dc:creator>
  <cp:keywords/>
  <dc:description/>
  <cp:lastModifiedBy>Stein, Annabelle</cp:lastModifiedBy>
  <cp:revision>3</cp:revision>
  <dcterms:created xsi:type="dcterms:W3CDTF">2017-07-24T15:57:00Z</dcterms:created>
  <dcterms:modified xsi:type="dcterms:W3CDTF">2017-07-24T17:19:00Z</dcterms:modified>
</cp:coreProperties>
</file>