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6AA9" w14:textId="77777777" w:rsidR="008D01A4" w:rsidRPr="00BF54BA" w:rsidRDefault="00000000">
      <w:pPr>
        <w:spacing w:after="0"/>
        <w:ind w:left="92"/>
        <w:jc w:val="center"/>
        <w:rPr>
          <w:sz w:val="28"/>
          <w:szCs w:val="28"/>
        </w:rPr>
      </w:pPr>
      <w:r w:rsidRPr="00BF54BA">
        <w:rPr>
          <w:rFonts w:eastAsia="Arial"/>
          <w:b/>
          <w:sz w:val="28"/>
          <w:szCs w:val="28"/>
        </w:rPr>
        <w:t xml:space="preserve">REQUEST FOR APPLICATIONS </w:t>
      </w:r>
    </w:p>
    <w:p w14:paraId="6AA08891" w14:textId="77777777" w:rsidR="008D01A4" w:rsidRPr="00BF54BA" w:rsidRDefault="00000000">
      <w:pPr>
        <w:pStyle w:val="Heading1"/>
        <w:rPr>
          <w:rFonts w:ascii="Calibri" w:hAnsi="Calibri" w:cs="Calibri"/>
          <w:szCs w:val="28"/>
        </w:rPr>
      </w:pPr>
      <w:r w:rsidRPr="00BF54BA">
        <w:rPr>
          <w:rFonts w:ascii="Calibri" w:hAnsi="Calibri" w:cs="Calibri"/>
          <w:szCs w:val="28"/>
        </w:rPr>
        <w:t>FOR UNC SCHOOL OF MEDICINE CORE VOUCHER PROJECTS</w:t>
      </w:r>
    </w:p>
    <w:p w14:paraId="2BA42534" w14:textId="5A318A64" w:rsidR="008D01A4" w:rsidRPr="00BF54BA" w:rsidRDefault="00000000">
      <w:pPr>
        <w:spacing w:after="291" w:line="258" w:lineRule="auto"/>
        <w:ind w:left="291" w:right="237" w:hanging="10"/>
        <w:rPr>
          <w:sz w:val="24"/>
        </w:rPr>
      </w:pPr>
      <w:r w:rsidRPr="00BF54BA">
        <w:rPr>
          <w:rFonts w:eastAsia="Arial"/>
          <w:b/>
          <w:sz w:val="24"/>
        </w:rPr>
        <w:t>Program Description:</w:t>
      </w:r>
      <w:r w:rsidRPr="00BF54BA">
        <w:rPr>
          <w:rFonts w:eastAsia="Arial"/>
          <w:sz w:val="24"/>
        </w:rPr>
        <w:t xml:space="preserve"> The Core Facility Advocacy Committee (CFAC) in the Office of Research Technologies, UNC School of Medicine (SOM), announces a pilot program to support research projects that directly utilize UNC SOM biomedical research cores.  Core vouchers worth up to $10,000 will be awarded to </w:t>
      </w:r>
      <w:r w:rsidR="007E5670" w:rsidRPr="00BF54BA">
        <w:rPr>
          <w:rFonts w:eastAsia="Arial"/>
          <w:b/>
          <w:bCs/>
          <w:sz w:val="24"/>
        </w:rPr>
        <w:t xml:space="preserve">SOM </w:t>
      </w:r>
      <w:r w:rsidRPr="00BF54BA">
        <w:rPr>
          <w:rFonts w:eastAsia="Arial"/>
          <w:sz w:val="24"/>
        </w:rPr>
        <w:t xml:space="preserve">investigators with qualified projects to be used exclusively for core services.  </w:t>
      </w:r>
    </w:p>
    <w:p w14:paraId="5333FF66" w14:textId="77777777" w:rsidR="008D01A4" w:rsidRPr="00BF54BA" w:rsidRDefault="00000000">
      <w:pPr>
        <w:spacing w:after="564" w:line="257" w:lineRule="auto"/>
        <w:ind w:left="291" w:right="244" w:hanging="10"/>
        <w:rPr>
          <w:sz w:val="24"/>
        </w:rPr>
      </w:pPr>
      <w:r w:rsidRPr="00BF54BA">
        <w:rPr>
          <w:rFonts w:eastAsia="Arial"/>
          <w:b/>
          <w:sz w:val="24"/>
        </w:rPr>
        <w:t>Project Requirements:</w:t>
      </w:r>
      <w:r w:rsidRPr="00BF54BA">
        <w:rPr>
          <w:rFonts w:eastAsia="Arial"/>
          <w:sz w:val="24"/>
        </w:rPr>
        <w:t xml:space="preserve">  To be eligible for funding, projects must be for new method development or generation of pilot data for a project not currently funded AND at least one of the following: </w:t>
      </w:r>
    </w:p>
    <w:p w14:paraId="0CD9DF26" w14:textId="77777777" w:rsidR="008D01A4" w:rsidRPr="00BF54BA" w:rsidRDefault="00000000">
      <w:pPr>
        <w:numPr>
          <w:ilvl w:val="0"/>
          <w:numId w:val="1"/>
        </w:numPr>
        <w:spacing w:after="35" w:line="257" w:lineRule="auto"/>
        <w:ind w:right="244" w:hanging="360"/>
        <w:rPr>
          <w:sz w:val="24"/>
        </w:rPr>
      </w:pPr>
      <w:r w:rsidRPr="00BF54BA">
        <w:rPr>
          <w:rFonts w:eastAsia="Arial"/>
          <w:sz w:val="24"/>
        </w:rPr>
        <w:t>Pipeline project that utilizes more than one core</w:t>
      </w:r>
    </w:p>
    <w:p w14:paraId="1D526848" w14:textId="77777777" w:rsidR="008D01A4" w:rsidRPr="00BF54BA" w:rsidRDefault="00000000">
      <w:pPr>
        <w:numPr>
          <w:ilvl w:val="0"/>
          <w:numId w:val="1"/>
        </w:numPr>
        <w:spacing w:after="35" w:line="257" w:lineRule="auto"/>
        <w:ind w:right="244" w:hanging="360"/>
        <w:rPr>
          <w:sz w:val="24"/>
        </w:rPr>
      </w:pPr>
      <w:r w:rsidRPr="00BF54BA">
        <w:rPr>
          <w:rFonts w:eastAsia="Arial"/>
          <w:sz w:val="24"/>
        </w:rPr>
        <w:t>Applicant is a new customer of at least one core utilized in this proposal</w:t>
      </w:r>
    </w:p>
    <w:p w14:paraId="7D7763D3" w14:textId="77777777" w:rsidR="008D01A4" w:rsidRPr="00BF54BA" w:rsidRDefault="00000000" w:rsidP="00AA61C9">
      <w:pPr>
        <w:numPr>
          <w:ilvl w:val="0"/>
          <w:numId w:val="1"/>
        </w:numPr>
        <w:spacing w:after="0" w:line="257" w:lineRule="auto"/>
        <w:ind w:right="244" w:hanging="360"/>
        <w:rPr>
          <w:sz w:val="24"/>
        </w:rPr>
      </w:pPr>
      <w:r w:rsidRPr="00BF54BA">
        <w:rPr>
          <w:rFonts w:eastAsia="Arial"/>
          <w:sz w:val="24"/>
        </w:rPr>
        <w:t>Applicant is using a technology or service within a core that they have not used before, even if they have previously worked with that core</w:t>
      </w:r>
    </w:p>
    <w:p w14:paraId="320C849F" w14:textId="28377387" w:rsidR="007E5670" w:rsidRPr="00BF54BA" w:rsidRDefault="006B5BAC" w:rsidP="00AA61C9">
      <w:pPr>
        <w:numPr>
          <w:ilvl w:val="0"/>
          <w:numId w:val="1"/>
        </w:numPr>
        <w:spacing w:after="0" w:line="257" w:lineRule="auto"/>
        <w:ind w:right="244" w:hanging="360"/>
        <w:rPr>
          <w:sz w:val="24"/>
        </w:rPr>
      </w:pPr>
      <w:r w:rsidRPr="00BF54BA">
        <w:rPr>
          <w:bCs/>
          <w:color w:val="112337"/>
          <w:sz w:val="24"/>
          <w:shd w:val="clear" w:color="auto" w:fill="FFFFFF"/>
        </w:rPr>
        <w:t xml:space="preserve">Applicant has been impacted by </w:t>
      </w:r>
      <w:r w:rsidRPr="00BF54BA">
        <w:rPr>
          <w:color w:val="112337"/>
          <w:sz w:val="24"/>
          <w:shd w:val="clear" w:color="auto" w:fill="FFFFFF"/>
        </w:rPr>
        <w:t>a recent grant termination (last 6 months) or a programmatic chang</w:t>
      </w:r>
      <w:r w:rsidRPr="00BF54BA">
        <w:rPr>
          <w:bCs/>
          <w:color w:val="112337"/>
          <w:sz w:val="24"/>
          <w:shd w:val="clear" w:color="auto" w:fill="FFFFFF"/>
        </w:rPr>
        <w:t>e at the NIH</w:t>
      </w:r>
      <w:r w:rsidRPr="00BF54BA">
        <w:rPr>
          <w:bCs/>
          <w:color w:val="112337"/>
          <w:sz w:val="24"/>
          <w:shd w:val="clear" w:color="auto" w:fill="FFFFFF"/>
        </w:rPr>
        <w:t xml:space="preserve"> or</w:t>
      </w:r>
      <w:r w:rsidRPr="00BF54BA">
        <w:rPr>
          <w:bCs/>
          <w:color w:val="112337"/>
          <w:sz w:val="24"/>
          <w:shd w:val="clear" w:color="auto" w:fill="FFFFFF"/>
        </w:rPr>
        <w:t xml:space="preserve"> other federal agencies</w:t>
      </w:r>
      <w:r w:rsidRPr="00BF54BA">
        <w:rPr>
          <w:bCs/>
          <w:color w:val="112337"/>
          <w:sz w:val="24"/>
          <w:shd w:val="clear" w:color="auto" w:fill="FFFFFF"/>
        </w:rPr>
        <w:t>,</w:t>
      </w:r>
      <w:r w:rsidRPr="00BF54BA">
        <w:rPr>
          <w:bCs/>
          <w:color w:val="112337"/>
          <w:sz w:val="24"/>
          <w:shd w:val="clear" w:color="auto" w:fill="FFFFFF"/>
        </w:rPr>
        <w:t xml:space="preserve"> and is collecting pilot data to target new federal funding opportunities or new internal collaborations</w:t>
      </w:r>
      <w:r w:rsidRPr="00BF54BA">
        <w:rPr>
          <w:rFonts w:eastAsia="Arial"/>
          <w:sz w:val="24"/>
        </w:rPr>
        <w:t xml:space="preserve"> </w:t>
      </w:r>
      <w:r w:rsidR="00E02A9C" w:rsidRPr="00BF54BA">
        <w:rPr>
          <w:rFonts w:eastAsia="Arial"/>
          <w:sz w:val="24"/>
        </w:rPr>
        <w:t>(see special note in Application Instructions)</w:t>
      </w:r>
    </w:p>
    <w:p w14:paraId="6DAA4962" w14:textId="77777777" w:rsidR="00AA61C9" w:rsidRPr="00BF54BA" w:rsidRDefault="00AA61C9" w:rsidP="00AA61C9">
      <w:pPr>
        <w:spacing w:after="0" w:line="257" w:lineRule="auto"/>
        <w:ind w:left="956" w:right="244"/>
        <w:rPr>
          <w:sz w:val="24"/>
        </w:rPr>
      </w:pPr>
    </w:p>
    <w:p w14:paraId="683D9567" w14:textId="77777777" w:rsidR="008D01A4" w:rsidRPr="00BF54BA" w:rsidRDefault="00000000">
      <w:pPr>
        <w:spacing w:after="298" w:line="257" w:lineRule="auto"/>
        <w:ind w:left="415" w:right="225"/>
        <w:jc w:val="both"/>
        <w:rPr>
          <w:sz w:val="24"/>
        </w:rPr>
      </w:pPr>
      <w:r w:rsidRPr="00BF54BA">
        <w:rPr>
          <w:rFonts w:eastAsia="Arial"/>
          <w:sz w:val="24"/>
        </w:rPr>
        <w:t xml:space="preserve">This program is not intended to supplement ongoing, funded research but rather to help labs innovate, test new ideas, develop a new method, or work with a core that they have not previously used.  </w:t>
      </w:r>
    </w:p>
    <w:p w14:paraId="1D998515" w14:textId="5F709572" w:rsidR="008D01A4" w:rsidRPr="00BF54BA" w:rsidRDefault="00000000">
      <w:pPr>
        <w:spacing w:after="295" w:line="257" w:lineRule="auto"/>
        <w:ind w:left="415" w:right="240"/>
        <w:jc w:val="both"/>
        <w:rPr>
          <w:sz w:val="24"/>
        </w:rPr>
      </w:pPr>
      <w:r w:rsidRPr="00BF54BA">
        <w:rPr>
          <w:rFonts w:eastAsia="Arial"/>
          <w:sz w:val="24"/>
        </w:rPr>
        <w:t xml:space="preserve">Awarded funds must be spent by </w:t>
      </w:r>
      <w:r w:rsidRPr="00BF54BA">
        <w:rPr>
          <w:rFonts w:eastAsia="Arial"/>
          <w:b/>
          <w:sz w:val="24"/>
        </w:rPr>
        <w:t>June 30, 2025.</w:t>
      </w:r>
      <w:r w:rsidRPr="00BF54BA">
        <w:rPr>
          <w:rFonts w:eastAsia="Arial"/>
          <w:sz w:val="24"/>
        </w:rPr>
        <w:t xml:space="preserve"> Carryover of funds to the subsequent fiscal year is </w:t>
      </w:r>
      <w:r w:rsidRPr="00BF54BA">
        <w:rPr>
          <w:rFonts w:eastAsia="Arial"/>
          <w:sz w:val="24"/>
          <w:u w:val="single" w:color="000000"/>
        </w:rPr>
        <w:t>not guaranteed</w:t>
      </w:r>
      <w:r w:rsidRPr="00BF54BA">
        <w:rPr>
          <w:rFonts w:eastAsia="Arial"/>
          <w:sz w:val="24"/>
        </w:rPr>
        <w:t xml:space="preserve">. </w:t>
      </w:r>
      <w:r w:rsidR="006B5BAC" w:rsidRPr="00BF54BA">
        <w:rPr>
          <w:rFonts w:eastAsia="Arial"/>
          <w:sz w:val="24"/>
        </w:rPr>
        <w:t>The f</w:t>
      </w:r>
      <w:r w:rsidRPr="00BF54BA">
        <w:rPr>
          <w:rFonts w:eastAsia="Arial"/>
          <w:sz w:val="24"/>
        </w:rPr>
        <w:t>easibility of complet</w:t>
      </w:r>
      <w:r w:rsidR="006B5BAC" w:rsidRPr="00BF54BA">
        <w:rPr>
          <w:rFonts w:eastAsia="Arial"/>
          <w:sz w:val="24"/>
        </w:rPr>
        <w:t>ing</w:t>
      </w:r>
      <w:r w:rsidRPr="00BF54BA">
        <w:rPr>
          <w:rFonts w:eastAsia="Arial"/>
          <w:sz w:val="24"/>
        </w:rPr>
        <w:t xml:space="preserve"> the project within the funding window will be considered in scoring the applications. </w:t>
      </w:r>
    </w:p>
    <w:p w14:paraId="2593495A" w14:textId="7FF8FA28" w:rsidR="008D01A4" w:rsidRPr="00BF54BA" w:rsidRDefault="00000000">
      <w:pPr>
        <w:spacing w:after="291" w:line="258" w:lineRule="auto"/>
        <w:ind w:left="414" w:right="237" w:hanging="10"/>
        <w:rPr>
          <w:sz w:val="24"/>
        </w:rPr>
      </w:pPr>
      <w:r w:rsidRPr="00BF54BA">
        <w:rPr>
          <w:rFonts w:eastAsia="Arial"/>
          <w:sz w:val="24"/>
        </w:rPr>
        <w:t xml:space="preserve">Applicants </w:t>
      </w:r>
      <w:r w:rsidR="007E5670" w:rsidRPr="00BF54BA">
        <w:rPr>
          <w:rFonts w:eastAsia="Arial"/>
          <w:sz w:val="24"/>
        </w:rPr>
        <w:t>must have a full or joint appointment within the UNC SOM and must be using cores managed within the SOM</w:t>
      </w:r>
      <w:r w:rsidRPr="00BF54BA">
        <w:rPr>
          <w:rFonts w:eastAsia="Arial"/>
          <w:sz w:val="24"/>
        </w:rPr>
        <w:t xml:space="preserve">. A list of approved core facilities is attached. </w:t>
      </w:r>
    </w:p>
    <w:p w14:paraId="1E71C98E" w14:textId="77777777" w:rsidR="008D01A4" w:rsidRPr="00BF54BA" w:rsidRDefault="00000000">
      <w:pPr>
        <w:spacing w:after="200" w:line="255" w:lineRule="auto"/>
        <w:ind w:left="415"/>
        <w:rPr>
          <w:sz w:val="24"/>
        </w:rPr>
      </w:pPr>
      <w:r w:rsidRPr="00BF54BA">
        <w:rPr>
          <w:rFonts w:eastAsia="Arial"/>
          <w:b/>
          <w:sz w:val="24"/>
        </w:rPr>
        <w:t xml:space="preserve">Awards will be paid directly to the core facility upon receipt of an invoice from the core for completed work. </w:t>
      </w:r>
    </w:p>
    <w:p w14:paraId="0E4E077C" w14:textId="77777777" w:rsidR="008D01A4" w:rsidRPr="00BF54BA" w:rsidRDefault="00000000">
      <w:pPr>
        <w:spacing w:after="316"/>
        <w:ind w:left="425" w:hanging="10"/>
        <w:rPr>
          <w:sz w:val="24"/>
        </w:rPr>
      </w:pPr>
      <w:r w:rsidRPr="00BF54BA">
        <w:rPr>
          <w:rFonts w:eastAsia="Arial"/>
          <w:b/>
          <w:sz w:val="24"/>
        </w:rPr>
        <w:t>Conditions of Award:</w:t>
      </w:r>
      <w:r w:rsidRPr="00BF54BA">
        <w:rPr>
          <w:rFonts w:eastAsia="Arial"/>
          <w:sz w:val="24"/>
        </w:rPr>
        <w:t xml:space="preserve">  </w:t>
      </w:r>
    </w:p>
    <w:p w14:paraId="6281CAAE" w14:textId="4938A860" w:rsidR="008D01A4" w:rsidRPr="00BF54BA" w:rsidRDefault="006B5BAC">
      <w:pPr>
        <w:numPr>
          <w:ilvl w:val="0"/>
          <w:numId w:val="2"/>
        </w:numPr>
        <w:spacing w:after="65" w:line="263" w:lineRule="auto"/>
        <w:ind w:hanging="360"/>
        <w:rPr>
          <w:sz w:val="24"/>
        </w:rPr>
      </w:pPr>
      <w:r w:rsidRPr="00BF54BA">
        <w:rPr>
          <w:rFonts w:eastAsia="Arial"/>
          <w:sz w:val="24"/>
        </w:rPr>
        <w:t>Recipients of voucher awards</w:t>
      </w:r>
      <w:r w:rsidR="00000000" w:rsidRPr="00BF54BA">
        <w:rPr>
          <w:rFonts w:eastAsia="Arial"/>
          <w:sz w:val="24"/>
        </w:rPr>
        <w:t xml:space="preserve"> are expected to provide a brief follow-up report at 12 months following the award</w:t>
      </w:r>
      <w:r w:rsidR="007E5670" w:rsidRPr="00BF54BA">
        <w:rPr>
          <w:rFonts w:eastAsia="Arial"/>
          <w:sz w:val="24"/>
        </w:rPr>
        <w:t xml:space="preserve"> and a full report at 24 months following the award.</w:t>
      </w:r>
    </w:p>
    <w:p w14:paraId="28495C9D" w14:textId="77777777" w:rsidR="008D01A4" w:rsidRPr="00BF54BA" w:rsidRDefault="00000000">
      <w:pPr>
        <w:numPr>
          <w:ilvl w:val="0"/>
          <w:numId w:val="2"/>
        </w:numPr>
        <w:spacing w:after="44"/>
        <w:ind w:hanging="360"/>
        <w:rPr>
          <w:sz w:val="24"/>
        </w:rPr>
      </w:pPr>
      <w:r w:rsidRPr="00BF54BA">
        <w:rPr>
          <w:rFonts w:eastAsia="Arial"/>
          <w:sz w:val="24"/>
        </w:rPr>
        <w:t xml:space="preserve">Cores </w:t>
      </w:r>
      <w:r w:rsidRPr="00BF54BA">
        <w:rPr>
          <w:rFonts w:eastAsia="Arial"/>
          <w:b/>
          <w:bCs/>
          <w:sz w:val="24"/>
        </w:rPr>
        <w:t>must be acknowledged</w:t>
      </w:r>
      <w:r w:rsidRPr="00BF54BA">
        <w:rPr>
          <w:rFonts w:eastAsia="Arial"/>
          <w:sz w:val="24"/>
        </w:rPr>
        <w:t xml:space="preserve"> in published work stemming from this award.</w:t>
      </w:r>
    </w:p>
    <w:p w14:paraId="2172BFFD" w14:textId="77777777" w:rsidR="008D01A4" w:rsidRPr="00BF54BA" w:rsidRDefault="00000000">
      <w:pPr>
        <w:numPr>
          <w:ilvl w:val="0"/>
          <w:numId w:val="2"/>
        </w:numPr>
        <w:spacing w:after="0"/>
        <w:ind w:hanging="360"/>
        <w:rPr>
          <w:sz w:val="24"/>
        </w:rPr>
      </w:pPr>
      <w:r w:rsidRPr="00BF54BA">
        <w:rPr>
          <w:rFonts w:eastAsia="Arial"/>
          <w:sz w:val="24"/>
        </w:rPr>
        <w:t>Funding must be acknowledged as: "Funding provided by the Core Facility</w:t>
      </w:r>
    </w:p>
    <w:p w14:paraId="4A3C154A" w14:textId="77777777" w:rsidR="008D01A4" w:rsidRPr="00BF54BA" w:rsidRDefault="00000000">
      <w:pPr>
        <w:spacing w:after="65" w:line="263" w:lineRule="auto"/>
        <w:ind w:left="1058"/>
        <w:rPr>
          <w:sz w:val="24"/>
        </w:rPr>
      </w:pPr>
      <w:r w:rsidRPr="00BF54BA">
        <w:rPr>
          <w:rFonts w:eastAsia="Arial"/>
          <w:sz w:val="24"/>
        </w:rPr>
        <w:t>Advocacy Committee and Office of Research Technologies, UNC Chapel Hill School of Medicine."</w:t>
      </w:r>
    </w:p>
    <w:p w14:paraId="10480E53" w14:textId="77777777" w:rsidR="007E5670" w:rsidRPr="00BF54BA" w:rsidRDefault="007E5670">
      <w:pPr>
        <w:spacing w:after="286"/>
        <w:ind w:left="335" w:hanging="10"/>
        <w:rPr>
          <w:rFonts w:eastAsia="Arial"/>
          <w:b/>
          <w:sz w:val="24"/>
        </w:rPr>
      </w:pPr>
    </w:p>
    <w:p w14:paraId="7E09A38D" w14:textId="3787E742" w:rsidR="008D01A4" w:rsidRPr="00BF54BA" w:rsidRDefault="00000000" w:rsidP="00BF54BA">
      <w:pPr>
        <w:spacing w:after="286"/>
        <w:rPr>
          <w:sz w:val="24"/>
        </w:rPr>
      </w:pPr>
      <w:r w:rsidRPr="00BF54BA">
        <w:rPr>
          <w:rFonts w:eastAsia="Arial"/>
          <w:b/>
          <w:sz w:val="24"/>
        </w:rPr>
        <w:lastRenderedPageBreak/>
        <w:t>Application Instructions:</w:t>
      </w:r>
    </w:p>
    <w:p w14:paraId="52D45919" w14:textId="77777777" w:rsidR="008D01A4" w:rsidRPr="00BF54BA" w:rsidRDefault="00000000">
      <w:pPr>
        <w:numPr>
          <w:ilvl w:val="0"/>
          <w:numId w:val="2"/>
        </w:numPr>
        <w:spacing w:after="64" w:line="256" w:lineRule="auto"/>
        <w:ind w:hanging="360"/>
        <w:rPr>
          <w:sz w:val="24"/>
        </w:rPr>
      </w:pPr>
      <w:r w:rsidRPr="00BF54BA">
        <w:rPr>
          <w:rFonts w:eastAsia="Arial"/>
          <w:sz w:val="24"/>
        </w:rPr>
        <w:t xml:space="preserve">All submissions must be made online at: </w:t>
      </w:r>
      <w:hyperlink r:id="rId5">
        <w:r w:rsidR="008D01A4" w:rsidRPr="00BF54BA">
          <w:rPr>
            <w:rFonts w:eastAsia="Arial"/>
            <w:sz w:val="24"/>
          </w:rPr>
          <w:t xml:space="preserve">https://www.med.unc.edu/corefacilities/ </w:t>
        </w:r>
      </w:hyperlink>
      <w:hyperlink r:id="rId6">
        <w:r w:rsidR="008D01A4" w:rsidRPr="00BF54BA">
          <w:rPr>
            <w:rFonts w:eastAsia="Arial"/>
            <w:sz w:val="24"/>
          </w:rPr>
          <w:t>core-voucher-program/</w:t>
        </w:r>
      </w:hyperlink>
    </w:p>
    <w:p w14:paraId="376AFE1B" w14:textId="1DA0453E" w:rsidR="008D01A4" w:rsidRPr="00BF54BA" w:rsidRDefault="00000000">
      <w:pPr>
        <w:numPr>
          <w:ilvl w:val="0"/>
          <w:numId w:val="2"/>
        </w:numPr>
        <w:spacing w:after="26"/>
        <w:ind w:hanging="360"/>
        <w:rPr>
          <w:sz w:val="24"/>
        </w:rPr>
      </w:pPr>
      <w:r w:rsidRPr="00BF54BA">
        <w:rPr>
          <w:rFonts w:eastAsia="Arial"/>
          <w:b/>
          <w:sz w:val="24"/>
        </w:rPr>
        <w:t>Applications are due by: September 2</w:t>
      </w:r>
      <w:r w:rsidR="00E02A9C" w:rsidRPr="00BF54BA">
        <w:rPr>
          <w:rFonts w:eastAsia="Arial"/>
          <w:b/>
          <w:sz w:val="24"/>
        </w:rPr>
        <w:t>2</w:t>
      </w:r>
      <w:r w:rsidRPr="00BF54BA">
        <w:rPr>
          <w:rFonts w:eastAsia="Arial"/>
          <w:b/>
          <w:sz w:val="24"/>
        </w:rPr>
        <w:t>, 202</w:t>
      </w:r>
      <w:r w:rsidR="00E02A9C" w:rsidRPr="00BF54BA">
        <w:rPr>
          <w:rFonts w:eastAsia="Arial"/>
          <w:b/>
          <w:sz w:val="24"/>
        </w:rPr>
        <w:t>5</w:t>
      </w:r>
      <w:r w:rsidR="006B5BAC" w:rsidRPr="00BF54BA">
        <w:rPr>
          <w:rFonts w:eastAsia="Arial"/>
          <w:b/>
          <w:sz w:val="24"/>
        </w:rPr>
        <w:t>,</w:t>
      </w:r>
      <w:r w:rsidRPr="00BF54BA">
        <w:rPr>
          <w:rFonts w:eastAsia="Arial"/>
          <w:b/>
          <w:sz w:val="24"/>
        </w:rPr>
        <w:t xml:space="preserve"> at 11:59 PM</w:t>
      </w:r>
    </w:p>
    <w:p w14:paraId="1EA32C79" w14:textId="77777777" w:rsidR="008D01A4" w:rsidRPr="00BF54BA" w:rsidRDefault="00000000">
      <w:pPr>
        <w:numPr>
          <w:ilvl w:val="0"/>
          <w:numId w:val="2"/>
        </w:numPr>
        <w:spacing w:after="79" w:line="252" w:lineRule="auto"/>
        <w:ind w:hanging="360"/>
        <w:rPr>
          <w:sz w:val="24"/>
        </w:rPr>
      </w:pPr>
      <w:r w:rsidRPr="00BF54BA">
        <w:rPr>
          <w:rFonts w:eastAsia="Arial"/>
          <w:sz w:val="24"/>
        </w:rPr>
        <w:t>While you may save and return to your online form prior to submission, a template is provided for your convenience in drafting your application</w:t>
      </w:r>
    </w:p>
    <w:p w14:paraId="74EDEF8D" w14:textId="77777777" w:rsidR="008D01A4" w:rsidRPr="00BF54BA" w:rsidRDefault="00000000">
      <w:pPr>
        <w:numPr>
          <w:ilvl w:val="0"/>
          <w:numId w:val="2"/>
        </w:numPr>
        <w:spacing w:after="78" w:line="257" w:lineRule="auto"/>
        <w:ind w:hanging="360"/>
        <w:rPr>
          <w:sz w:val="24"/>
        </w:rPr>
      </w:pPr>
      <w:r w:rsidRPr="00BF54BA">
        <w:rPr>
          <w:rFonts w:eastAsia="Arial"/>
          <w:sz w:val="24"/>
        </w:rPr>
        <w:t>The description of the project can follow the format of a typical specific aims page for an NIH grant and should include study design and expected outcomes</w:t>
      </w:r>
    </w:p>
    <w:p w14:paraId="670BED01" w14:textId="77777777" w:rsidR="008D01A4" w:rsidRPr="00BF54BA" w:rsidRDefault="00000000">
      <w:pPr>
        <w:numPr>
          <w:ilvl w:val="0"/>
          <w:numId w:val="2"/>
        </w:numPr>
        <w:spacing w:after="79" w:line="252" w:lineRule="auto"/>
        <w:ind w:hanging="360"/>
        <w:rPr>
          <w:sz w:val="24"/>
        </w:rPr>
      </w:pPr>
      <w:r w:rsidRPr="00BF54BA">
        <w:rPr>
          <w:rFonts w:eastAsia="Arial"/>
          <w:sz w:val="24"/>
        </w:rPr>
        <w:t>Provide a detailed budget for the core services you plan to utilize. If you intend to use multiple cores, please list a budget for each core facility.</w:t>
      </w:r>
    </w:p>
    <w:p w14:paraId="4F903812" w14:textId="08ECDCB1" w:rsidR="008D01A4" w:rsidRPr="00BF54BA" w:rsidRDefault="00000000">
      <w:pPr>
        <w:numPr>
          <w:ilvl w:val="0"/>
          <w:numId w:val="2"/>
        </w:numPr>
        <w:spacing w:after="78" w:line="257" w:lineRule="auto"/>
        <w:ind w:hanging="360"/>
        <w:rPr>
          <w:sz w:val="24"/>
        </w:rPr>
      </w:pPr>
      <w:r w:rsidRPr="00BF54BA">
        <w:rPr>
          <w:rFonts w:eastAsia="Arial"/>
          <w:sz w:val="24"/>
        </w:rPr>
        <w:t xml:space="preserve">Provide current Other Support document and </w:t>
      </w:r>
      <w:r w:rsidR="007E5670" w:rsidRPr="00BF54BA">
        <w:rPr>
          <w:rFonts w:eastAsia="Arial"/>
          <w:sz w:val="24"/>
        </w:rPr>
        <w:t xml:space="preserve">a </w:t>
      </w:r>
      <w:r w:rsidRPr="00BF54BA">
        <w:rPr>
          <w:rFonts w:eastAsia="Arial"/>
          <w:sz w:val="24"/>
        </w:rPr>
        <w:t>brief statement regarding how the data will be used</w:t>
      </w:r>
    </w:p>
    <w:p w14:paraId="6AC3FC47" w14:textId="5F8820BE" w:rsidR="008D01A4" w:rsidRPr="00BF54BA" w:rsidRDefault="00000000">
      <w:pPr>
        <w:numPr>
          <w:ilvl w:val="0"/>
          <w:numId w:val="2"/>
        </w:numPr>
        <w:spacing w:after="79" w:line="252" w:lineRule="auto"/>
        <w:ind w:hanging="360"/>
        <w:rPr>
          <w:sz w:val="24"/>
        </w:rPr>
      </w:pPr>
      <w:r w:rsidRPr="00BF54BA">
        <w:rPr>
          <w:rFonts w:eastAsia="Arial"/>
          <w:sz w:val="24"/>
        </w:rPr>
        <w:t xml:space="preserve">Consultation with the core director/manager(s) is required </w:t>
      </w:r>
      <w:r w:rsidR="00BF54BA" w:rsidRPr="00BF54BA">
        <w:rPr>
          <w:rFonts w:eastAsia="Arial"/>
          <w:sz w:val="24"/>
        </w:rPr>
        <w:t>before</w:t>
      </w:r>
      <w:r w:rsidRPr="00BF54BA">
        <w:rPr>
          <w:rFonts w:eastAsia="Arial"/>
          <w:sz w:val="24"/>
        </w:rPr>
        <w:t xml:space="preserve"> submission of the application. The attached attestation page must be signed by each participating core facility director or manager acknowledging that the project and budget were discussed and adhere to the core facility's standard of rigor, reproducibility, and transparency in research.</w:t>
      </w:r>
      <w:r w:rsidR="007E5670" w:rsidRPr="00BF54BA">
        <w:rPr>
          <w:rFonts w:eastAsia="Arial"/>
          <w:sz w:val="24"/>
        </w:rPr>
        <w:t xml:space="preserve"> Core directors have the right to</w:t>
      </w:r>
      <w:r w:rsidR="00BF54BA" w:rsidRPr="00BF54BA">
        <w:rPr>
          <w:rFonts w:eastAsia="Arial"/>
          <w:sz w:val="24"/>
        </w:rPr>
        <w:t xml:space="preserve"> decline a project if proper attestations are not provided.</w:t>
      </w:r>
    </w:p>
    <w:p w14:paraId="4DC6C62A" w14:textId="77777777" w:rsidR="007E5670" w:rsidRPr="00BF54BA" w:rsidRDefault="007E5670" w:rsidP="007E5670">
      <w:pPr>
        <w:spacing w:after="79" w:line="252" w:lineRule="auto"/>
        <w:rPr>
          <w:sz w:val="24"/>
        </w:rPr>
      </w:pPr>
    </w:p>
    <w:p w14:paraId="21833333" w14:textId="045D0CA4" w:rsidR="00E02A9C" w:rsidRPr="00BF54BA" w:rsidRDefault="00000000" w:rsidP="00E02A9C">
      <w:pPr>
        <w:numPr>
          <w:ilvl w:val="0"/>
          <w:numId w:val="2"/>
        </w:numPr>
        <w:spacing w:after="0" w:line="240" w:lineRule="auto"/>
        <w:ind w:hanging="360"/>
        <w:rPr>
          <w:sz w:val="24"/>
        </w:rPr>
      </w:pPr>
      <w:r w:rsidRPr="00BF54BA">
        <w:rPr>
          <w:rFonts w:eastAsia="Arial"/>
          <w:sz w:val="24"/>
        </w:rPr>
        <w:t>Applicants must sign the attestation page</w:t>
      </w:r>
      <w:r w:rsidR="00BF54BA" w:rsidRPr="00BF54BA">
        <w:rPr>
          <w:rFonts w:eastAsia="Arial"/>
          <w:sz w:val="24"/>
        </w:rPr>
        <w:t>,</w:t>
      </w:r>
      <w:r w:rsidRPr="00BF54BA">
        <w:rPr>
          <w:rFonts w:eastAsia="Arial"/>
          <w:sz w:val="24"/>
        </w:rPr>
        <w:t xml:space="preserve"> agreeing to acknowledge the contributions of core facilities used in any publications arising from this fundin</w:t>
      </w:r>
      <w:r w:rsidR="00E02A9C" w:rsidRPr="00BF54BA">
        <w:rPr>
          <w:rFonts w:eastAsia="Arial"/>
          <w:sz w:val="24"/>
        </w:rPr>
        <w:t>g</w:t>
      </w:r>
    </w:p>
    <w:p w14:paraId="4150001F" w14:textId="77777777" w:rsidR="00E02A9C" w:rsidRPr="00BF54BA" w:rsidRDefault="00E02A9C" w:rsidP="00E02A9C">
      <w:pPr>
        <w:pStyle w:val="ListParagraph"/>
        <w:rPr>
          <w:sz w:val="24"/>
        </w:rPr>
      </w:pPr>
    </w:p>
    <w:p w14:paraId="1D941244" w14:textId="132E77C4" w:rsidR="00E02A9C" w:rsidRPr="00BF54BA" w:rsidRDefault="00E02A9C" w:rsidP="00BF54BA">
      <w:pPr>
        <w:pStyle w:val="ListParagraph"/>
        <w:numPr>
          <w:ilvl w:val="0"/>
          <w:numId w:val="3"/>
        </w:numPr>
        <w:spacing w:before="60" w:after="20" w:line="240" w:lineRule="auto"/>
        <w:rPr>
          <w:sz w:val="24"/>
        </w:rPr>
      </w:pPr>
      <w:r w:rsidRPr="00BF54BA">
        <w:rPr>
          <w:b/>
          <w:bCs/>
          <w:sz w:val="24"/>
        </w:rPr>
        <w:t>Special Note:</w:t>
      </w:r>
      <w:r w:rsidRPr="00BF54BA">
        <w:rPr>
          <w:sz w:val="24"/>
        </w:rPr>
        <w:t xml:space="preserve"> Applicants who qualify under “</w:t>
      </w:r>
      <w:r w:rsidR="00BF54BA" w:rsidRPr="00BF54BA">
        <w:rPr>
          <w:b/>
          <w:bCs/>
          <w:color w:val="112337"/>
          <w:sz w:val="24"/>
          <w:shd w:val="clear" w:color="auto" w:fill="FFFFFF"/>
        </w:rPr>
        <w:t>Applicant has been impacted by a recent grant termination (last 6 months) or a programmatic change at the NIH or other federal agencies, and is collecting pilot data to target new federal funding opportunities or new internal collaborations</w:t>
      </w:r>
      <w:r w:rsidRPr="00BF54BA">
        <w:rPr>
          <w:rFonts w:eastAsia="Arial"/>
          <w:sz w:val="24"/>
        </w:rPr>
        <w:t xml:space="preserve">” should also include </w:t>
      </w:r>
      <w:r w:rsidR="00BF54BA" w:rsidRPr="00BF54BA">
        <w:rPr>
          <w:rFonts w:eastAsia="Arial"/>
          <w:sz w:val="24"/>
        </w:rPr>
        <w:t>a letter describing the impact of changes to federal scientific funding priorities to their research program and how access to these funds will support changes to their program to address the challenges described.</w:t>
      </w:r>
    </w:p>
    <w:p w14:paraId="6108F050" w14:textId="77777777" w:rsidR="00E02A9C" w:rsidRPr="00BF54BA" w:rsidRDefault="00E02A9C" w:rsidP="00E02A9C">
      <w:pPr>
        <w:pStyle w:val="ListParagraph"/>
        <w:rPr>
          <w:sz w:val="24"/>
        </w:rPr>
      </w:pPr>
    </w:p>
    <w:p w14:paraId="1CDCE34E" w14:textId="77777777" w:rsidR="00E02A9C" w:rsidRPr="00BF54BA" w:rsidRDefault="00E02A9C" w:rsidP="00E02A9C">
      <w:pPr>
        <w:spacing w:after="0" w:line="240" w:lineRule="auto"/>
        <w:ind w:left="360"/>
        <w:rPr>
          <w:sz w:val="24"/>
        </w:rPr>
      </w:pPr>
    </w:p>
    <w:p w14:paraId="7C5B6D27" w14:textId="78B559D0" w:rsidR="008D01A4" w:rsidRPr="00BF54BA" w:rsidRDefault="00000000">
      <w:pPr>
        <w:spacing w:after="291" w:line="258" w:lineRule="auto"/>
        <w:ind w:left="414" w:right="237" w:hanging="10"/>
        <w:rPr>
          <w:sz w:val="24"/>
        </w:rPr>
      </w:pPr>
      <w:r w:rsidRPr="00BF54BA">
        <w:rPr>
          <w:rFonts w:eastAsia="Arial"/>
          <w:b/>
          <w:sz w:val="24"/>
        </w:rPr>
        <w:t>Review Criteria:</w:t>
      </w:r>
      <w:r w:rsidRPr="00BF54BA">
        <w:rPr>
          <w:rFonts w:eastAsia="Arial"/>
          <w:sz w:val="24"/>
        </w:rPr>
        <w:t xml:space="preserve">  Successful applications will satisfy the project requirements listed above and will be assessed by CFAC for appropriate scope within the funding window, innovation, significance and approach. If additional expert input is needed</w:t>
      </w:r>
      <w:r w:rsidR="00BF54BA" w:rsidRPr="00BF54BA">
        <w:rPr>
          <w:rFonts w:eastAsia="Arial"/>
          <w:sz w:val="24"/>
        </w:rPr>
        <w:t>,</w:t>
      </w:r>
      <w:r w:rsidRPr="00BF54BA">
        <w:rPr>
          <w:rFonts w:eastAsia="Arial"/>
          <w:sz w:val="24"/>
        </w:rPr>
        <w:t xml:space="preserve"> CFAC may utilize </w:t>
      </w:r>
      <w:r w:rsidRPr="00BF54BA">
        <w:rPr>
          <w:rFonts w:eastAsia="Arial"/>
          <w:i/>
          <w:sz w:val="24"/>
        </w:rPr>
        <w:t>ad hoc</w:t>
      </w:r>
      <w:r w:rsidRPr="00BF54BA">
        <w:rPr>
          <w:rFonts w:eastAsia="Arial"/>
          <w:sz w:val="24"/>
        </w:rPr>
        <w:t xml:space="preserve"> reviewers. The 9-point NIH rating scale will be used (1 = exceptional; 9 = poor). </w:t>
      </w:r>
    </w:p>
    <w:p w14:paraId="5A776A2D" w14:textId="39AF8C00" w:rsidR="008D01A4" w:rsidRPr="00BF54BA" w:rsidRDefault="00000000">
      <w:pPr>
        <w:spacing w:after="64" w:line="256" w:lineRule="auto"/>
        <w:ind w:left="404"/>
        <w:rPr>
          <w:rFonts w:eastAsia="Arial"/>
          <w:sz w:val="24"/>
        </w:rPr>
      </w:pPr>
      <w:r w:rsidRPr="00BF54BA">
        <w:rPr>
          <w:rFonts w:eastAsia="Arial"/>
          <w:b/>
          <w:sz w:val="24"/>
        </w:rPr>
        <w:t>Questions?</w:t>
      </w:r>
      <w:r w:rsidRPr="00BF54BA">
        <w:rPr>
          <w:rFonts w:eastAsia="Arial"/>
          <w:sz w:val="24"/>
        </w:rPr>
        <w:t xml:space="preserve">  Please contact the Office of Research Technologies at </w:t>
      </w:r>
      <w:hyperlink r:id="rId7" w:history="1">
        <w:r w:rsidR="007E5670" w:rsidRPr="00BF54BA">
          <w:rPr>
            <w:rStyle w:val="Hyperlink"/>
            <w:rFonts w:eastAsia="Arial"/>
            <w:sz w:val="24"/>
          </w:rPr>
          <w:t>corefacilities@med.unc.edu</w:t>
        </w:r>
      </w:hyperlink>
    </w:p>
    <w:p w14:paraId="48317A21" w14:textId="77777777" w:rsidR="007E5670" w:rsidRPr="00BF54BA" w:rsidRDefault="007E5670">
      <w:pPr>
        <w:spacing w:after="64" w:line="256" w:lineRule="auto"/>
        <w:ind w:left="404"/>
        <w:rPr>
          <w:sz w:val="24"/>
        </w:rPr>
      </w:pPr>
    </w:p>
    <w:p w14:paraId="379D7887" w14:textId="77777777" w:rsidR="007E5670" w:rsidRPr="00BF54BA" w:rsidRDefault="007E5670">
      <w:pPr>
        <w:spacing w:after="64" w:line="256" w:lineRule="auto"/>
        <w:ind w:left="404"/>
        <w:rPr>
          <w:sz w:val="24"/>
        </w:rPr>
      </w:pPr>
    </w:p>
    <w:p w14:paraId="0F0BB18F" w14:textId="77777777" w:rsidR="007E5670" w:rsidRPr="00BF54BA" w:rsidRDefault="007E5670" w:rsidP="00E02A9C">
      <w:pPr>
        <w:spacing w:after="64" w:line="256" w:lineRule="auto"/>
        <w:rPr>
          <w:sz w:val="24"/>
        </w:rPr>
      </w:pPr>
    </w:p>
    <w:p w14:paraId="19E902C8" w14:textId="77777777" w:rsidR="00BF54BA" w:rsidRDefault="00BF54BA">
      <w:pPr>
        <w:spacing w:after="0"/>
        <w:ind w:left="862"/>
        <w:jc w:val="center"/>
        <w:rPr>
          <w:rFonts w:eastAsia="Arial"/>
          <w:b/>
          <w:sz w:val="24"/>
        </w:rPr>
      </w:pPr>
    </w:p>
    <w:p w14:paraId="6918F446" w14:textId="77777777" w:rsidR="00BF54BA" w:rsidRDefault="00BF54BA">
      <w:pPr>
        <w:spacing w:after="0"/>
        <w:ind w:left="862"/>
        <w:jc w:val="center"/>
        <w:rPr>
          <w:rFonts w:eastAsia="Arial"/>
          <w:b/>
          <w:sz w:val="24"/>
        </w:rPr>
      </w:pPr>
    </w:p>
    <w:p w14:paraId="6AAF6FBA" w14:textId="77777777" w:rsidR="00BF54BA" w:rsidRDefault="00BF54BA">
      <w:pPr>
        <w:spacing w:after="0"/>
        <w:ind w:left="862"/>
        <w:jc w:val="center"/>
        <w:rPr>
          <w:rFonts w:eastAsia="Arial"/>
          <w:b/>
          <w:sz w:val="24"/>
        </w:rPr>
      </w:pPr>
    </w:p>
    <w:p w14:paraId="23F6E5CB" w14:textId="77777777" w:rsidR="00BF54BA" w:rsidRDefault="00BF54BA">
      <w:pPr>
        <w:spacing w:after="0"/>
        <w:ind w:left="862"/>
        <w:jc w:val="center"/>
        <w:rPr>
          <w:rFonts w:eastAsia="Arial"/>
          <w:b/>
          <w:sz w:val="24"/>
        </w:rPr>
      </w:pPr>
    </w:p>
    <w:p w14:paraId="420D4C4E" w14:textId="77777777" w:rsidR="00BF54BA" w:rsidRPr="00BF54BA" w:rsidRDefault="00BF54BA">
      <w:pPr>
        <w:spacing w:after="0"/>
        <w:ind w:left="862"/>
        <w:jc w:val="center"/>
        <w:rPr>
          <w:rFonts w:eastAsia="Arial"/>
          <w:b/>
          <w:sz w:val="24"/>
        </w:rPr>
      </w:pPr>
    </w:p>
    <w:p w14:paraId="2F3028A3" w14:textId="77777777" w:rsidR="00BF54BA" w:rsidRPr="00BF54BA" w:rsidRDefault="00BF54BA">
      <w:pPr>
        <w:spacing w:after="0"/>
        <w:ind w:left="862"/>
        <w:jc w:val="center"/>
        <w:rPr>
          <w:rFonts w:eastAsia="Arial"/>
          <w:b/>
          <w:sz w:val="24"/>
        </w:rPr>
      </w:pPr>
    </w:p>
    <w:p w14:paraId="323127AD" w14:textId="481A2CA9" w:rsidR="008D01A4" w:rsidRPr="00BF54BA" w:rsidRDefault="00000000">
      <w:pPr>
        <w:spacing w:after="0"/>
        <w:ind w:left="862"/>
        <w:jc w:val="center"/>
        <w:rPr>
          <w:sz w:val="24"/>
        </w:rPr>
      </w:pPr>
      <w:r w:rsidRPr="00BF54BA">
        <w:rPr>
          <w:rFonts w:eastAsia="Arial"/>
          <w:b/>
          <w:sz w:val="24"/>
        </w:rPr>
        <w:lastRenderedPageBreak/>
        <w:t>ELIGIBLE UNC CORE FACILITIES</w:t>
      </w:r>
    </w:p>
    <w:p w14:paraId="22CBDDD5" w14:textId="37B661BB" w:rsidR="008D01A4" w:rsidRPr="00BF54BA" w:rsidRDefault="00000000">
      <w:pPr>
        <w:spacing w:after="593" w:line="250" w:lineRule="auto"/>
        <w:ind w:left="1020" w:right="91"/>
        <w:jc w:val="center"/>
        <w:rPr>
          <w:sz w:val="24"/>
        </w:rPr>
      </w:pPr>
      <w:r w:rsidRPr="00BF54BA">
        <w:rPr>
          <w:rFonts w:eastAsia="Arial"/>
          <w:sz w:val="24"/>
        </w:rPr>
        <w:t>In alphabetical order. If you are interested in using a core not on this list</w:t>
      </w:r>
      <w:r w:rsidR="00BF54BA" w:rsidRPr="00BF54BA">
        <w:rPr>
          <w:rFonts w:eastAsia="Arial"/>
          <w:sz w:val="24"/>
        </w:rPr>
        <w:t>,</w:t>
      </w:r>
      <w:r w:rsidRPr="00BF54BA">
        <w:rPr>
          <w:rFonts w:eastAsia="Arial"/>
          <w:sz w:val="24"/>
        </w:rPr>
        <w:t xml:space="preserve"> contact ORT at corefacilities@med.unc.edu to confirm eligibility</w:t>
      </w:r>
      <w:r w:rsidR="00BF54BA" w:rsidRPr="00BF54BA">
        <w:rPr>
          <w:rFonts w:eastAsia="Arial"/>
          <w:sz w:val="24"/>
        </w:rPr>
        <w:t>.</w:t>
      </w:r>
    </w:p>
    <w:tbl>
      <w:tblPr>
        <w:tblStyle w:val="TableGrid"/>
        <w:tblW w:w="0" w:type="auto"/>
        <w:tblInd w:w="360" w:type="dxa"/>
        <w:tblLook w:val="04A0" w:firstRow="1" w:lastRow="0" w:firstColumn="1" w:lastColumn="0" w:noHBand="0" w:noVBand="1"/>
      </w:tblPr>
      <w:tblGrid>
        <w:gridCol w:w="4626"/>
        <w:gridCol w:w="4627"/>
      </w:tblGrid>
      <w:tr w:rsidR="00E02A9C" w:rsidRPr="00BF54BA" w14:paraId="08BA718F" w14:textId="77777777" w:rsidTr="00E02A9C">
        <w:tc>
          <w:tcPr>
            <w:tcW w:w="4806" w:type="dxa"/>
          </w:tcPr>
          <w:p w14:paraId="67CFCDAA" w14:textId="77777777" w:rsidR="00E02A9C" w:rsidRPr="00BF54BA" w:rsidRDefault="00E02A9C" w:rsidP="00B62370">
            <w:pPr>
              <w:numPr>
                <w:ilvl w:val="0"/>
                <w:numId w:val="2"/>
              </w:numPr>
              <w:spacing w:after="27"/>
              <w:ind w:hanging="360"/>
              <w:rPr>
                <w:sz w:val="24"/>
              </w:rPr>
            </w:pPr>
            <w:r w:rsidRPr="00BF54BA">
              <w:rPr>
                <w:rFonts w:eastAsia="Arial"/>
                <w:sz w:val="24"/>
              </w:rPr>
              <w:t>Abacus Evaluation</w:t>
            </w:r>
          </w:p>
        </w:tc>
        <w:tc>
          <w:tcPr>
            <w:tcW w:w="4807" w:type="dxa"/>
          </w:tcPr>
          <w:p w14:paraId="2A11D238"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Advanced Analytics Core</w:t>
            </w:r>
          </w:p>
        </w:tc>
      </w:tr>
      <w:tr w:rsidR="00E02A9C" w:rsidRPr="00BF54BA" w14:paraId="4AECFF5B" w14:textId="77777777" w:rsidTr="00E02A9C">
        <w:tc>
          <w:tcPr>
            <w:tcW w:w="4806" w:type="dxa"/>
          </w:tcPr>
          <w:p w14:paraId="73A32BCD"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Animal Clinical Chemistry Core</w:t>
            </w:r>
          </w:p>
        </w:tc>
        <w:tc>
          <w:tcPr>
            <w:tcW w:w="4807" w:type="dxa"/>
          </w:tcPr>
          <w:p w14:paraId="55D441CB"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Animal Models Core</w:t>
            </w:r>
          </w:p>
        </w:tc>
      </w:tr>
      <w:tr w:rsidR="00E02A9C" w:rsidRPr="00BF54BA" w14:paraId="19ED2665" w14:textId="77777777" w:rsidTr="00E02A9C">
        <w:tc>
          <w:tcPr>
            <w:tcW w:w="4806" w:type="dxa"/>
          </w:tcPr>
          <w:p w14:paraId="010D3482"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Bioinformatics and Research Collaborative (BARC)</w:t>
            </w:r>
          </w:p>
        </w:tc>
        <w:tc>
          <w:tcPr>
            <w:tcW w:w="4807" w:type="dxa"/>
          </w:tcPr>
          <w:p w14:paraId="72A408A9" w14:textId="77777777" w:rsidR="00E02A9C" w:rsidRPr="00BF54BA" w:rsidRDefault="00E02A9C" w:rsidP="00B62370">
            <w:pPr>
              <w:numPr>
                <w:ilvl w:val="0"/>
                <w:numId w:val="2"/>
              </w:numPr>
              <w:spacing w:after="76" w:line="251" w:lineRule="auto"/>
              <w:ind w:hanging="360"/>
              <w:rPr>
                <w:sz w:val="24"/>
              </w:rPr>
            </w:pPr>
            <w:r w:rsidRPr="00BF54BA">
              <w:rPr>
                <w:rFonts w:eastAsia="Arial"/>
                <w:sz w:val="24"/>
              </w:rPr>
              <w:t>Biomedical Research Imaging Center Cores (Small Animal Imaging, Small Animal MRI, Human Imaging, Radiochemistry, and Image Storage and Analysis)</w:t>
            </w:r>
          </w:p>
        </w:tc>
      </w:tr>
      <w:tr w:rsidR="00E02A9C" w:rsidRPr="00BF54BA" w14:paraId="2A78F75F" w14:textId="77777777" w:rsidTr="00E02A9C">
        <w:tc>
          <w:tcPr>
            <w:tcW w:w="4806" w:type="dxa"/>
          </w:tcPr>
          <w:p w14:paraId="39E6BE65"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Biomolecular NMR Core</w:t>
            </w:r>
          </w:p>
        </w:tc>
        <w:tc>
          <w:tcPr>
            <w:tcW w:w="4807" w:type="dxa"/>
          </w:tcPr>
          <w:p w14:paraId="6422EA07" w14:textId="77777777" w:rsidR="00E02A9C" w:rsidRPr="00BF54BA" w:rsidRDefault="00E02A9C" w:rsidP="00B62370">
            <w:pPr>
              <w:numPr>
                <w:ilvl w:val="0"/>
                <w:numId w:val="2"/>
              </w:numPr>
              <w:spacing w:after="24"/>
              <w:ind w:hanging="360"/>
              <w:rPr>
                <w:sz w:val="24"/>
              </w:rPr>
            </w:pPr>
            <w:r w:rsidRPr="00BF54BA">
              <w:rPr>
                <w:rFonts w:eastAsia="Arial"/>
                <w:sz w:val="24"/>
              </w:rPr>
              <w:t>BRAIN Initiative Viral Vector Core</w:t>
            </w:r>
          </w:p>
        </w:tc>
      </w:tr>
      <w:tr w:rsidR="00E02A9C" w:rsidRPr="00BF54BA" w14:paraId="547AFE24" w14:textId="77777777" w:rsidTr="00E02A9C">
        <w:tc>
          <w:tcPr>
            <w:tcW w:w="4806" w:type="dxa"/>
          </w:tcPr>
          <w:p w14:paraId="7DB6AF68" w14:textId="77777777" w:rsidR="00E02A9C" w:rsidRPr="00BF54BA" w:rsidRDefault="00E02A9C" w:rsidP="00B62370">
            <w:pPr>
              <w:numPr>
                <w:ilvl w:val="0"/>
                <w:numId w:val="2"/>
              </w:numPr>
              <w:spacing w:after="24"/>
              <w:ind w:hanging="360"/>
              <w:rPr>
                <w:sz w:val="24"/>
              </w:rPr>
            </w:pPr>
            <w:r w:rsidRPr="00BF54BA">
              <w:rPr>
                <w:rFonts w:eastAsia="Arial"/>
                <w:sz w:val="24"/>
              </w:rPr>
              <w:t>Cardiovascular Physiology and Phenotyping Core</w:t>
            </w:r>
          </w:p>
        </w:tc>
        <w:tc>
          <w:tcPr>
            <w:tcW w:w="4807" w:type="dxa"/>
          </w:tcPr>
          <w:p w14:paraId="647415F3" w14:textId="77777777" w:rsidR="00E02A9C" w:rsidRPr="00BF54BA" w:rsidRDefault="00E02A9C" w:rsidP="00B62370">
            <w:pPr>
              <w:numPr>
                <w:ilvl w:val="0"/>
                <w:numId w:val="2"/>
              </w:numPr>
              <w:spacing w:after="53" w:line="253" w:lineRule="auto"/>
              <w:ind w:hanging="360"/>
              <w:rPr>
                <w:sz w:val="24"/>
              </w:rPr>
            </w:pPr>
            <w:r w:rsidRPr="00BF54BA">
              <w:rPr>
                <w:rFonts w:eastAsia="Arial"/>
                <w:sz w:val="24"/>
              </w:rPr>
              <w:t>CFAR Cores (Social and Behavioral, HIV/STD Laboratory, Clinical Pharmacology and Analytical Chemistry)</w:t>
            </w:r>
          </w:p>
        </w:tc>
      </w:tr>
      <w:tr w:rsidR="00E02A9C" w:rsidRPr="00BF54BA" w14:paraId="0CDDC8EA" w14:textId="77777777" w:rsidTr="00E02A9C">
        <w:tc>
          <w:tcPr>
            <w:tcW w:w="4806" w:type="dxa"/>
          </w:tcPr>
          <w:p w14:paraId="0D749661" w14:textId="77777777" w:rsidR="00E02A9C" w:rsidRPr="00BF54BA" w:rsidRDefault="00E02A9C" w:rsidP="00B62370">
            <w:pPr>
              <w:numPr>
                <w:ilvl w:val="0"/>
                <w:numId w:val="2"/>
              </w:numPr>
              <w:spacing w:after="53" w:line="253" w:lineRule="auto"/>
              <w:ind w:hanging="360"/>
              <w:rPr>
                <w:sz w:val="24"/>
              </w:rPr>
            </w:pPr>
            <w:r w:rsidRPr="00BF54BA">
              <w:rPr>
                <w:rFonts w:eastAsia="Arial"/>
                <w:sz w:val="24"/>
              </w:rPr>
              <w:t>CGIBD Histology Core</w:t>
            </w:r>
          </w:p>
        </w:tc>
        <w:tc>
          <w:tcPr>
            <w:tcW w:w="4807" w:type="dxa"/>
          </w:tcPr>
          <w:p w14:paraId="4CB9BEE9" w14:textId="77777777" w:rsidR="00E02A9C" w:rsidRPr="00BF54BA" w:rsidRDefault="00E02A9C" w:rsidP="00B62370">
            <w:pPr>
              <w:numPr>
                <w:ilvl w:val="0"/>
                <w:numId w:val="2"/>
              </w:numPr>
              <w:spacing w:after="24"/>
              <w:ind w:hanging="360"/>
              <w:rPr>
                <w:sz w:val="24"/>
              </w:rPr>
            </w:pPr>
            <w:r w:rsidRPr="00BF54BA">
              <w:rPr>
                <w:rFonts w:eastAsia="Arial"/>
                <w:sz w:val="24"/>
              </w:rPr>
              <w:t>CHAI Core: Interventions</w:t>
            </w:r>
          </w:p>
        </w:tc>
      </w:tr>
      <w:tr w:rsidR="00E02A9C" w:rsidRPr="00BF54BA" w14:paraId="4BA47BC3" w14:textId="77777777" w:rsidTr="00E02A9C">
        <w:tc>
          <w:tcPr>
            <w:tcW w:w="4806" w:type="dxa"/>
          </w:tcPr>
          <w:p w14:paraId="33716B70" w14:textId="77777777" w:rsidR="00E02A9C" w:rsidRPr="00BF54BA" w:rsidRDefault="00E02A9C" w:rsidP="00B62370">
            <w:pPr>
              <w:numPr>
                <w:ilvl w:val="0"/>
                <w:numId w:val="2"/>
              </w:numPr>
              <w:spacing w:after="24"/>
              <w:ind w:hanging="360"/>
              <w:rPr>
                <w:sz w:val="24"/>
              </w:rPr>
            </w:pPr>
            <w:r w:rsidRPr="00BF54BA">
              <w:rPr>
                <w:rFonts w:eastAsia="Arial"/>
                <w:sz w:val="24"/>
              </w:rPr>
              <w:t>Clinical Genomic Analysis (GENYSIS) Core</w:t>
            </w:r>
          </w:p>
        </w:tc>
        <w:tc>
          <w:tcPr>
            <w:tcW w:w="4807" w:type="dxa"/>
          </w:tcPr>
          <w:p w14:paraId="21336488"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Cryo-EM Core Facility</w:t>
            </w:r>
          </w:p>
        </w:tc>
      </w:tr>
      <w:tr w:rsidR="00E02A9C" w:rsidRPr="00BF54BA" w14:paraId="0BB8CB1E" w14:textId="77777777" w:rsidTr="00E02A9C">
        <w:tc>
          <w:tcPr>
            <w:tcW w:w="4806" w:type="dxa"/>
          </w:tcPr>
          <w:p w14:paraId="002CD730"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Flow Cytometry Core Facility</w:t>
            </w:r>
          </w:p>
        </w:tc>
        <w:tc>
          <w:tcPr>
            <w:tcW w:w="4807" w:type="dxa"/>
          </w:tcPr>
          <w:p w14:paraId="5347FCC4"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Functional Genomics Core</w:t>
            </w:r>
          </w:p>
        </w:tc>
      </w:tr>
      <w:tr w:rsidR="00E02A9C" w:rsidRPr="00BF54BA" w14:paraId="16BF7840" w14:textId="77777777" w:rsidTr="00E02A9C">
        <w:tc>
          <w:tcPr>
            <w:tcW w:w="4806" w:type="dxa"/>
          </w:tcPr>
          <w:p w14:paraId="4B54EC94"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High-Throughput Genomic Sequencing Facility</w:t>
            </w:r>
          </w:p>
        </w:tc>
        <w:tc>
          <w:tcPr>
            <w:tcW w:w="4807" w:type="dxa"/>
          </w:tcPr>
          <w:p w14:paraId="1404C9D4"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 xml:space="preserve">High-Throughput Modified Peptide Library &amp; </w:t>
            </w:r>
            <w:proofErr w:type="spellStart"/>
            <w:r w:rsidRPr="00BF54BA">
              <w:rPr>
                <w:rFonts w:eastAsia="Arial"/>
                <w:sz w:val="24"/>
              </w:rPr>
              <w:t>Arrayer</w:t>
            </w:r>
            <w:proofErr w:type="spellEnd"/>
            <w:r w:rsidRPr="00BF54BA">
              <w:rPr>
                <w:rFonts w:eastAsia="Arial"/>
                <w:sz w:val="24"/>
              </w:rPr>
              <w:t xml:space="preserve"> Facility</w:t>
            </w:r>
          </w:p>
        </w:tc>
      </w:tr>
      <w:tr w:rsidR="00E02A9C" w:rsidRPr="00BF54BA" w14:paraId="51F130DE" w14:textId="77777777" w:rsidTr="00E02A9C">
        <w:tc>
          <w:tcPr>
            <w:tcW w:w="4806" w:type="dxa"/>
          </w:tcPr>
          <w:p w14:paraId="4A74E57F"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Histology Research Core Facility</w:t>
            </w:r>
          </w:p>
        </w:tc>
        <w:tc>
          <w:tcPr>
            <w:tcW w:w="4807" w:type="dxa"/>
          </w:tcPr>
          <w:p w14:paraId="01952676"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Hooker Imaging Core</w:t>
            </w:r>
          </w:p>
        </w:tc>
      </w:tr>
      <w:tr w:rsidR="00E02A9C" w:rsidRPr="00BF54BA" w14:paraId="6EFDEAF3" w14:textId="77777777" w:rsidTr="00E02A9C">
        <w:tc>
          <w:tcPr>
            <w:tcW w:w="4806" w:type="dxa"/>
          </w:tcPr>
          <w:p w14:paraId="2CEC90BD"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Human Pluripotent Stem Cell Core</w:t>
            </w:r>
          </w:p>
        </w:tc>
        <w:tc>
          <w:tcPr>
            <w:tcW w:w="4807" w:type="dxa"/>
          </w:tcPr>
          <w:p w14:paraId="0A796AAB"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IDDRC Clinical Translational Core</w:t>
            </w:r>
          </w:p>
        </w:tc>
      </w:tr>
      <w:tr w:rsidR="00E02A9C" w:rsidRPr="00BF54BA" w14:paraId="35151940" w14:textId="77777777" w:rsidTr="00E02A9C">
        <w:tc>
          <w:tcPr>
            <w:tcW w:w="4806" w:type="dxa"/>
          </w:tcPr>
          <w:p w14:paraId="1E2B5B66"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Lenti shRNA Core</w:t>
            </w:r>
          </w:p>
        </w:tc>
        <w:tc>
          <w:tcPr>
            <w:tcW w:w="4807" w:type="dxa"/>
          </w:tcPr>
          <w:p w14:paraId="005E19EC"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Macromolecular Crystallography Core Facility</w:t>
            </w:r>
          </w:p>
        </w:tc>
      </w:tr>
      <w:tr w:rsidR="00E02A9C" w:rsidRPr="00BF54BA" w14:paraId="3388DEBF" w14:textId="77777777" w:rsidTr="00E02A9C">
        <w:tc>
          <w:tcPr>
            <w:tcW w:w="4806" w:type="dxa"/>
          </w:tcPr>
          <w:p w14:paraId="05766DAB"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Macromolecular Interactions Facility</w:t>
            </w:r>
          </w:p>
        </w:tc>
        <w:tc>
          <w:tcPr>
            <w:tcW w:w="4807" w:type="dxa"/>
          </w:tcPr>
          <w:p w14:paraId="2B59EA93"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Mammalian Genotyping Core</w:t>
            </w:r>
          </w:p>
        </w:tc>
      </w:tr>
      <w:tr w:rsidR="00E02A9C" w:rsidRPr="00BF54BA" w14:paraId="37994FA5" w14:textId="77777777" w:rsidTr="00E02A9C">
        <w:tc>
          <w:tcPr>
            <w:tcW w:w="4806" w:type="dxa"/>
          </w:tcPr>
          <w:p w14:paraId="24D61AF5"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Marsico Tissue Procurement and Cell Culture Core</w:t>
            </w:r>
          </w:p>
        </w:tc>
        <w:tc>
          <w:tcPr>
            <w:tcW w:w="4807" w:type="dxa"/>
          </w:tcPr>
          <w:p w14:paraId="44D4ED1D"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Mass Cytometry Core Facility</w:t>
            </w:r>
          </w:p>
        </w:tc>
      </w:tr>
      <w:tr w:rsidR="00E02A9C" w:rsidRPr="00BF54BA" w14:paraId="0B2C9009" w14:textId="77777777" w:rsidTr="00E02A9C">
        <w:tc>
          <w:tcPr>
            <w:tcW w:w="4806" w:type="dxa"/>
          </w:tcPr>
          <w:p w14:paraId="0F914C2E" w14:textId="77777777" w:rsidR="00E02A9C" w:rsidRPr="00BF54BA" w:rsidRDefault="00E02A9C" w:rsidP="00B62370">
            <w:pPr>
              <w:numPr>
                <w:ilvl w:val="0"/>
                <w:numId w:val="2"/>
              </w:numPr>
              <w:spacing w:after="19" w:line="253" w:lineRule="auto"/>
              <w:ind w:hanging="360"/>
              <w:rPr>
                <w:sz w:val="24"/>
              </w:rPr>
            </w:pPr>
            <w:r w:rsidRPr="00BF54BA">
              <w:rPr>
                <w:rFonts w:eastAsia="Arial"/>
                <w:sz w:val="24"/>
              </w:rPr>
              <w:t>Metabolomics and Proteomics (MAP) Core</w:t>
            </w:r>
          </w:p>
        </w:tc>
        <w:tc>
          <w:tcPr>
            <w:tcW w:w="4807" w:type="dxa"/>
          </w:tcPr>
          <w:p w14:paraId="54242F04"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Microbiome Core</w:t>
            </w:r>
          </w:p>
        </w:tc>
      </w:tr>
      <w:tr w:rsidR="00E02A9C" w:rsidRPr="00BF54BA" w14:paraId="37882D6D" w14:textId="77777777" w:rsidTr="00E02A9C">
        <w:tc>
          <w:tcPr>
            <w:tcW w:w="4806" w:type="dxa"/>
          </w:tcPr>
          <w:p w14:paraId="479E6C1B"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Microscopy Services Laboratory</w:t>
            </w:r>
          </w:p>
        </w:tc>
        <w:tc>
          <w:tcPr>
            <w:tcW w:w="4807" w:type="dxa"/>
          </w:tcPr>
          <w:p w14:paraId="23A6228C"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Mouse Behavioral Phenotyping Core</w:t>
            </w:r>
          </w:p>
        </w:tc>
      </w:tr>
      <w:tr w:rsidR="00E02A9C" w:rsidRPr="00BF54BA" w14:paraId="79C9A9A5" w14:textId="77777777" w:rsidTr="00E02A9C">
        <w:tc>
          <w:tcPr>
            <w:tcW w:w="4806" w:type="dxa"/>
          </w:tcPr>
          <w:p w14:paraId="7E437CE5" w14:textId="77777777" w:rsidR="00E02A9C" w:rsidRPr="00BF54BA" w:rsidRDefault="00E02A9C" w:rsidP="00B62370">
            <w:pPr>
              <w:numPr>
                <w:ilvl w:val="0"/>
                <w:numId w:val="2"/>
              </w:numPr>
              <w:spacing w:after="24"/>
              <w:ind w:hanging="360"/>
              <w:rPr>
                <w:sz w:val="24"/>
              </w:rPr>
            </w:pPr>
            <w:r w:rsidRPr="00BF54BA">
              <w:rPr>
                <w:rFonts w:eastAsia="Arial"/>
                <w:sz w:val="24"/>
              </w:rPr>
              <w:t>National Gnotobiotic Rodent Resource Center</w:t>
            </w:r>
          </w:p>
        </w:tc>
        <w:tc>
          <w:tcPr>
            <w:tcW w:w="4807" w:type="dxa"/>
          </w:tcPr>
          <w:p w14:paraId="7E1B5646" w14:textId="77777777" w:rsidR="00E02A9C" w:rsidRPr="00BF54BA" w:rsidRDefault="00E02A9C" w:rsidP="00B62370">
            <w:pPr>
              <w:numPr>
                <w:ilvl w:val="0"/>
                <w:numId w:val="2"/>
              </w:numPr>
              <w:spacing w:after="22"/>
              <w:ind w:hanging="360"/>
              <w:rPr>
                <w:sz w:val="24"/>
              </w:rPr>
            </w:pPr>
            <w:r w:rsidRPr="00BF54BA">
              <w:rPr>
                <w:rFonts w:eastAsia="Arial"/>
                <w:sz w:val="24"/>
              </w:rPr>
              <w:t xml:space="preserve">NC </w:t>
            </w:r>
            <w:proofErr w:type="spellStart"/>
            <w:r w:rsidRPr="00BF54BA">
              <w:rPr>
                <w:rFonts w:eastAsia="Arial"/>
                <w:sz w:val="24"/>
              </w:rPr>
              <w:t>TraCS</w:t>
            </w:r>
            <w:proofErr w:type="spellEnd"/>
          </w:p>
        </w:tc>
      </w:tr>
      <w:tr w:rsidR="00E02A9C" w:rsidRPr="00BF54BA" w14:paraId="66F88EDC" w14:textId="77777777" w:rsidTr="00E02A9C">
        <w:tc>
          <w:tcPr>
            <w:tcW w:w="4806" w:type="dxa"/>
          </w:tcPr>
          <w:p w14:paraId="487E26A3"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Neuroscience Microscopy Core</w:t>
            </w:r>
          </w:p>
        </w:tc>
        <w:tc>
          <w:tcPr>
            <w:tcW w:w="4807" w:type="dxa"/>
          </w:tcPr>
          <w:p w14:paraId="2A9D1342"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Pathology Services Core</w:t>
            </w:r>
          </w:p>
        </w:tc>
      </w:tr>
      <w:tr w:rsidR="00E02A9C" w:rsidRPr="00BF54BA" w14:paraId="77B6F045" w14:textId="77777777" w:rsidTr="00E02A9C">
        <w:tc>
          <w:tcPr>
            <w:tcW w:w="4806" w:type="dxa"/>
          </w:tcPr>
          <w:p w14:paraId="688D7D7D"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Patient-Reported Outcomes (PRO) Core</w:t>
            </w:r>
          </w:p>
        </w:tc>
        <w:tc>
          <w:tcPr>
            <w:tcW w:w="4807" w:type="dxa"/>
          </w:tcPr>
          <w:p w14:paraId="17141003" w14:textId="77777777" w:rsidR="00E02A9C" w:rsidRPr="00BF54BA" w:rsidRDefault="00E02A9C" w:rsidP="00B62370">
            <w:pPr>
              <w:numPr>
                <w:ilvl w:val="0"/>
                <w:numId w:val="2"/>
              </w:numPr>
              <w:spacing w:after="24"/>
              <w:ind w:hanging="360"/>
              <w:rPr>
                <w:sz w:val="24"/>
              </w:rPr>
            </w:pPr>
            <w:r w:rsidRPr="00BF54BA">
              <w:rPr>
                <w:rFonts w:eastAsia="Arial"/>
                <w:sz w:val="24"/>
              </w:rPr>
              <w:t>Preclinical Research Unit</w:t>
            </w:r>
          </w:p>
        </w:tc>
      </w:tr>
      <w:tr w:rsidR="00E02A9C" w:rsidRPr="00BF54BA" w14:paraId="0DDA0367" w14:textId="77777777" w:rsidTr="00E02A9C">
        <w:tc>
          <w:tcPr>
            <w:tcW w:w="4806" w:type="dxa"/>
          </w:tcPr>
          <w:p w14:paraId="402C7536" w14:textId="77777777" w:rsidR="00E02A9C" w:rsidRPr="00BF54BA" w:rsidRDefault="00E02A9C" w:rsidP="00B62370">
            <w:pPr>
              <w:numPr>
                <w:ilvl w:val="0"/>
                <w:numId w:val="2"/>
              </w:numPr>
              <w:spacing w:after="24"/>
              <w:ind w:hanging="360"/>
              <w:rPr>
                <w:sz w:val="24"/>
              </w:rPr>
            </w:pPr>
            <w:r w:rsidRPr="00BF54BA">
              <w:rPr>
                <w:rFonts w:eastAsia="Arial"/>
                <w:sz w:val="24"/>
              </w:rPr>
              <w:t>Pulmonary and Inhalation Research Center</w:t>
            </w:r>
          </w:p>
        </w:tc>
        <w:tc>
          <w:tcPr>
            <w:tcW w:w="4807" w:type="dxa"/>
          </w:tcPr>
          <w:p w14:paraId="049972E9" w14:textId="77777777" w:rsidR="00E02A9C" w:rsidRPr="00BF54BA" w:rsidRDefault="00E02A9C" w:rsidP="00B62370">
            <w:pPr>
              <w:numPr>
                <w:ilvl w:val="0"/>
                <w:numId w:val="2"/>
              </w:numPr>
              <w:spacing w:after="24"/>
              <w:ind w:hanging="360"/>
              <w:rPr>
                <w:sz w:val="24"/>
              </w:rPr>
            </w:pPr>
            <w:r w:rsidRPr="00BF54BA">
              <w:rPr>
                <w:rFonts w:eastAsia="Arial"/>
                <w:sz w:val="24"/>
              </w:rPr>
              <w:t>Research Radiation Core</w:t>
            </w:r>
          </w:p>
        </w:tc>
      </w:tr>
      <w:tr w:rsidR="00E02A9C" w:rsidRPr="00BF54BA" w14:paraId="478CDF6E" w14:textId="77777777" w:rsidTr="00E02A9C">
        <w:tc>
          <w:tcPr>
            <w:tcW w:w="4806" w:type="dxa"/>
          </w:tcPr>
          <w:p w14:paraId="7FC14714" w14:textId="77777777" w:rsidR="00E02A9C" w:rsidRPr="00BF54BA" w:rsidRDefault="00E02A9C" w:rsidP="00B62370">
            <w:pPr>
              <w:numPr>
                <w:ilvl w:val="0"/>
                <w:numId w:val="2"/>
              </w:numPr>
              <w:spacing w:after="24"/>
              <w:ind w:hanging="360"/>
              <w:rPr>
                <w:sz w:val="24"/>
              </w:rPr>
            </w:pPr>
            <w:r w:rsidRPr="00BF54BA">
              <w:rPr>
                <w:rFonts w:eastAsia="Arial"/>
                <w:sz w:val="24"/>
              </w:rPr>
              <w:t>Respiratory TRACTS Core</w:t>
            </w:r>
          </w:p>
        </w:tc>
        <w:tc>
          <w:tcPr>
            <w:tcW w:w="4807" w:type="dxa"/>
          </w:tcPr>
          <w:p w14:paraId="34D0C11A" w14:textId="77777777" w:rsidR="00E02A9C" w:rsidRPr="00BF54BA" w:rsidRDefault="00E02A9C" w:rsidP="00B62370">
            <w:pPr>
              <w:numPr>
                <w:ilvl w:val="0"/>
                <w:numId w:val="2"/>
              </w:numPr>
              <w:spacing w:after="24"/>
              <w:ind w:hanging="360"/>
              <w:rPr>
                <w:sz w:val="24"/>
              </w:rPr>
            </w:pPr>
            <w:r w:rsidRPr="00BF54BA">
              <w:rPr>
                <w:rFonts w:eastAsia="Arial"/>
                <w:sz w:val="24"/>
              </w:rPr>
              <w:t>R.L. Juliano Structural Bioinformatics Core</w:t>
            </w:r>
          </w:p>
        </w:tc>
      </w:tr>
      <w:tr w:rsidR="00E02A9C" w:rsidRPr="00BF54BA" w14:paraId="4EB6B98B" w14:textId="77777777" w:rsidTr="00E02A9C">
        <w:tc>
          <w:tcPr>
            <w:tcW w:w="4806" w:type="dxa"/>
          </w:tcPr>
          <w:p w14:paraId="026468C4"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Systems Genetics Core</w:t>
            </w:r>
          </w:p>
        </w:tc>
        <w:tc>
          <w:tcPr>
            <w:tcW w:w="4807" w:type="dxa"/>
          </w:tcPr>
          <w:p w14:paraId="6113C699"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Tissue Culture Facility</w:t>
            </w:r>
          </w:p>
        </w:tc>
      </w:tr>
      <w:tr w:rsidR="00E02A9C" w:rsidRPr="00BF54BA" w14:paraId="29555E4C" w14:textId="77777777" w:rsidTr="00E02A9C">
        <w:tc>
          <w:tcPr>
            <w:tcW w:w="4806" w:type="dxa"/>
          </w:tcPr>
          <w:p w14:paraId="52F8F1CC"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Tissue Procurement Facility</w:t>
            </w:r>
          </w:p>
        </w:tc>
        <w:tc>
          <w:tcPr>
            <w:tcW w:w="4807" w:type="dxa"/>
          </w:tcPr>
          <w:p w14:paraId="3360F2F5"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Translational Genomics Lab</w:t>
            </w:r>
          </w:p>
        </w:tc>
      </w:tr>
      <w:tr w:rsidR="00E02A9C" w:rsidRPr="00BF54BA" w14:paraId="64460490" w14:textId="77777777" w:rsidTr="00E02A9C">
        <w:tc>
          <w:tcPr>
            <w:tcW w:w="4806" w:type="dxa"/>
          </w:tcPr>
          <w:p w14:paraId="4B0F536A" w14:textId="77777777" w:rsidR="00E02A9C" w:rsidRPr="00BF54BA" w:rsidRDefault="00E02A9C" w:rsidP="00B62370">
            <w:pPr>
              <w:numPr>
                <w:ilvl w:val="0"/>
                <w:numId w:val="2"/>
              </w:numPr>
              <w:spacing w:after="34" w:line="251" w:lineRule="auto"/>
              <w:ind w:hanging="360"/>
              <w:rPr>
                <w:sz w:val="24"/>
              </w:rPr>
            </w:pPr>
            <w:r w:rsidRPr="00BF54BA">
              <w:rPr>
                <w:rFonts w:eastAsia="Arial"/>
                <w:sz w:val="24"/>
              </w:rPr>
              <w:t>Vector Core</w:t>
            </w:r>
          </w:p>
        </w:tc>
        <w:tc>
          <w:tcPr>
            <w:tcW w:w="4807" w:type="dxa"/>
          </w:tcPr>
          <w:p w14:paraId="25FFE020" w14:textId="77777777" w:rsidR="00E02A9C" w:rsidRPr="00BF54BA" w:rsidRDefault="00E02A9C" w:rsidP="00B62370">
            <w:pPr>
              <w:numPr>
                <w:ilvl w:val="0"/>
                <w:numId w:val="2"/>
              </w:numPr>
              <w:spacing w:after="9" w:line="251" w:lineRule="auto"/>
              <w:ind w:hanging="360"/>
              <w:rPr>
                <w:sz w:val="24"/>
              </w:rPr>
            </w:pPr>
            <w:proofErr w:type="spellStart"/>
            <w:r w:rsidRPr="00BF54BA">
              <w:rPr>
                <w:rFonts w:eastAsia="Arial"/>
                <w:sz w:val="24"/>
              </w:rPr>
              <w:t>Vironomics</w:t>
            </w:r>
            <w:proofErr w:type="spellEnd"/>
            <w:r w:rsidRPr="00BF54BA">
              <w:rPr>
                <w:rFonts w:eastAsia="Arial"/>
                <w:sz w:val="24"/>
              </w:rPr>
              <w:t xml:space="preserve"> Core</w:t>
            </w:r>
          </w:p>
        </w:tc>
      </w:tr>
    </w:tbl>
    <w:p w14:paraId="366AD66E" w14:textId="3EA8ABB3" w:rsidR="008D01A4" w:rsidRPr="00BF54BA" w:rsidRDefault="008D01A4" w:rsidP="00E02A9C">
      <w:pPr>
        <w:spacing w:after="9" w:line="251" w:lineRule="auto"/>
        <w:rPr>
          <w:sz w:val="24"/>
        </w:rPr>
      </w:pPr>
    </w:p>
    <w:sectPr w:rsidR="008D01A4" w:rsidRPr="00BF54BA">
      <w:pgSz w:w="12240" w:h="15840"/>
      <w:pgMar w:top="762" w:right="1436" w:bottom="0"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7556"/>
    <w:multiLevelType w:val="hybridMultilevel"/>
    <w:tmpl w:val="529EE75E"/>
    <w:lvl w:ilvl="0" w:tplc="AAC25C70">
      <w:start w:val="1"/>
      <w:numFmt w:val="bullet"/>
      <w:lvlText w:val="•"/>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4D5CA">
      <w:start w:val="1"/>
      <w:numFmt w:val="bullet"/>
      <w:lvlText w:val="o"/>
      <w:lvlJc w:val="left"/>
      <w:pPr>
        <w:ind w:left="1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EC3F1A">
      <w:start w:val="1"/>
      <w:numFmt w:val="bullet"/>
      <w:lvlText w:val="▪"/>
      <w:lvlJc w:val="left"/>
      <w:pPr>
        <w:ind w:left="2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87B58">
      <w:start w:val="1"/>
      <w:numFmt w:val="bullet"/>
      <w:lvlText w:val="•"/>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E6C8E">
      <w:start w:val="1"/>
      <w:numFmt w:val="bullet"/>
      <w:lvlText w:val="o"/>
      <w:lvlJc w:val="left"/>
      <w:pPr>
        <w:ind w:left="3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63A64">
      <w:start w:val="1"/>
      <w:numFmt w:val="bullet"/>
      <w:lvlText w:val="▪"/>
      <w:lvlJc w:val="left"/>
      <w:pPr>
        <w:ind w:left="4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EE0B10">
      <w:start w:val="1"/>
      <w:numFmt w:val="bullet"/>
      <w:lvlText w:val="•"/>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2C074">
      <w:start w:val="1"/>
      <w:numFmt w:val="bullet"/>
      <w:lvlText w:val="o"/>
      <w:lvlJc w:val="left"/>
      <w:pPr>
        <w:ind w:left="5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F06930">
      <w:start w:val="1"/>
      <w:numFmt w:val="bullet"/>
      <w:lvlText w:val="▪"/>
      <w:lvlJc w:val="left"/>
      <w:pPr>
        <w:ind w:left="6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991EF7"/>
    <w:multiLevelType w:val="hybridMultilevel"/>
    <w:tmpl w:val="511041B6"/>
    <w:lvl w:ilvl="0" w:tplc="37FC16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22E18">
      <w:start w:val="1"/>
      <w:numFmt w:val="bullet"/>
      <w:lvlText w:val="o"/>
      <w:lvlJc w:val="left"/>
      <w:pPr>
        <w:ind w:left="1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BE0F40">
      <w:start w:val="1"/>
      <w:numFmt w:val="bullet"/>
      <w:lvlText w:val="▪"/>
      <w:lvlJc w:val="left"/>
      <w:pPr>
        <w:ind w:left="1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903740">
      <w:start w:val="1"/>
      <w:numFmt w:val="bullet"/>
      <w:lvlText w:val="•"/>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0F570">
      <w:start w:val="1"/>
      <w:numFmt w:val="bullet"/>
      <w:lvlText w:val="o"/>
      <w:lvlJc w:val="left"/>
      <w:pPr>
        <w:ind w:left="3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527650">
      <w:start w:val="1"/>
      <w:numFmt w:val="bullet"/>
      <w:lvlText w:val="▪"/>
      <w:lvlJc w:val="left"/>
      <w:pPr>
        <w:ind w:left="39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7859D8">
      <w:start w:val="1"/>
      <w:numFmt w:val="bullet"/>
      <w:lvlText w:val="•"/>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4BF42">
      <w:start w:val="1"/>
      <w:numFmt w:val="bullet"/>
      <w:lvlText w:val="o"/>
      <w:lvlJc w:val="left"/>
      <w:pPr>
        <w:ind w:left="5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2994C">
      <w:start w:val="1"/>
      <w:numFmt w:val="bullet"/>
      <w:lvlText w:val="▪"/>
      <w:lvlJc w:val="left"/>
      <w:pPr>
        <w:ind w:left="6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6B1A55"/>
    <w:multiLevelType w:val="hybridMultilevel"/>
    <w:tmpl w:val="ABC66A42"/>
    <w:lvl w:ilvl="0" w:tplc="870E961A">
      <w:start w:val="10"/>
      <w:numFmt w:val="bullet"/>
      <w:lvlText w:val=""/>
      <w:lvlJc w:val="left"/>
      <w:pPr>
        <w:ind w:left="720" w:hanging="360"/>
      </w:pPr>
      <w:rPr>
        <w:rFonts w:ascii="Symbol" w:eastAsia="Calibr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202477">
    <w:abstractNumId w:val="0"/>
  </w:num>
  <w:num w:numId="2" w16cid:durableId="123737160">
    <w:abstractNumId w:val="1"/>
  </w:num>
  <w:num w:numId="3" w16cid:durableId="270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A4"/>
    <w:rsid w:val="003822D1"/>
    <w:rsid w:val="003C3DBC"/>
    <w:rsid w:val="00600B67"/>
    <w:rsid w:val="006B5BAC"/>
    <w:rsid w:val="007E5670"/>
    <w:rsid w:val="008D01A4"/>
    <w:rsid w:val="00AA61C9"/>
    <w:rsid w:val="00BF54BA"/>
    <w:rsid w:val="00E0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ED12A"/>
  <w15:docId w15:val="{4E74F22A-8DCD-8D45-A9EF-091B605B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53" w:line="259" w:lineRule="auto"/>
      <w:ind w:left="91"/>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7E5670"/>
    <w:rPr>
      <w:color w:val="467886" w:themeColor="hyperlink"/>
      <w:u w:val="single"/>
    </w:rPr>
  </w:style>
  <w:style w:type="character" w:styleId="UnresolvedMention">
    <w:name w:val="Unresolved Mention"/>
    <w:basedOn w:val="DefaultParagraphFont"/>
    <w:uiPriority w:val="99"/>
    <w:semiHidden/>
    <w:unhideWhenUsed/>
    <w:rsid w:val="007E5670"/>
    <w:rPr>
      <w:color w:val="605E5C"/>
      <w:shd w:val="clear" w:color="auto" w:fill="E1DFDD"/>
    </w:rPr>
  </w:style>
  <w:style w:type="paragraph" w:styleId="ListParagraph">
    <w:name w:val="List Paragraph"/>
    <w:basedOn w:val="Normal"/>
    <w:uiPriority w:val="34"/>
    <w:qFormat/>
    <w:rsid w:val="00E02A9C"/>
    <w:pPr>
      <w:ind w:left="720"/>
      <w:contextualSpacing/>
    </w:pPr>
  </w:style>
  <w:style w:type="table" w:styleId="TableGrid">
    <w:name w:val="Table Grid"/>
    <w:basedOn w:val="TableNormal"/>
    <w:uiPriority w:val="39"/>
    <w:rsid w:val="00E0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refacilities@med.un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unc.edu/corefacilities/core-voucher-program/" TargetMode="External"/><Relationship Id="rId5" Type="http://schemas.openxmlformats.org/officeDocument/2006/relationships/hyperlink" Target="https://www.med.unc.edu/corefacilities/core-voucher-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RFA PILOT PROJECTS IN SOM CORES - NOV2019.docx</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RFA PILOT PROJECTS IN SOM CORES - NOV2019.docx</dc:title>
  <dc:subject/>
  <dc:creator>Clissold, Kara Allison</dc:creator>
  <cp:keywords/>
  <cp:lastModifiedBy>Gregory, Christopher</cp:lastModifiedBy>
  <cp:revision>2</cp:revision>
  <dcterms:created xsi:type="dcterms:W3CDTF">2025-08-19T17:21:00Z</dcterms:created>
  <dcterms:modified xsi:type="dcterms:W3CDTF">2025-08-19T17:21:00Z</dcterms:modified>
</cp:coreProperties>
</file>