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D5A9DE" w14:textId="018EC29F" w:rsidR="00C153BE" w:rsidRPr="00370779" w:rsidRDefault="00C153BE" w:rsidP="002D12C5">
      <w:pPr>
        <w:suppressAutoHyphens/>
        <w:rPr>
          <w:rFonts w:ascii="Segoe UI" w:hAnsi="Segoe UI" w:cs="Segoe UI"/>
          <w:b/>
          <w:sz w:val="22"/>
          <w:szCs w:val="22"/>
        </w:rPr>
      </w:pPr>
      <w:r w:rsidRPr="00370779">
        <w:rPr>
          <w:rFonts w:ascii="Segoe UI" w:hAnsi="Segoe UI" w:cs="Segoe UI"/>
          <w:b/>
          <w:sz w:val="22"/>
          <w:szCs w:val="22"/>
        </w:rPr>
        <w:t>Office of Continuing Professional Development</w:t>
      </w:r>
      <w:r w:rsidR="00B1400D" w:rsidRPr="00370779">
        <w:rPr>
          <w:rFonts w:ascii="Segoe UI" w:hAnsi="Segoe UI" w:cs="Segoe UI"/>
          <w:b/>
          <w:sz w:val="22"/>
          <w:szCs w:val="22"/>
        </w:rPr>
        <w:t xml:space="preserve"> (UNC CPD)</w:t>
      </w:r>
    </w:p>
    <w:p w14:paraId="08E29B05" w14:textId="6AA01772" w:rsidR="002A6917" w:rsidRPr="00370779" w:rsidRDefault="002A6917" w:rsidP="002D12C5">
      <w:pPr>
        <w:suppressAutoHyphens/>
        <w:rPr>
          <w:rFonts w:ascii="Segoe UI" w:hAnsi="Segoe UI" w:cs="Segoe UI"/>
          <w:b/>
          <w:sz w:val="22"/>
          <w:szCs w:val="22"/>
        </w:rPr>
      </w:pPr>
      <w:r w:rsidRPr="00370779">
        <w:rPr>
          <w:rFonts w:ascii="Segoe UI" w:hAnsi="Segoe UI" w:cs="Segoe UI"/>
          <w:b/>
          <w:sz w:val="22"/>
          <w:szCs w:val="22"/>
        </w:rPr>
        <w:t>Policy</w:t>
      </w:r>
      <w:r w:rsidR="00A80C05" w:rsidRPr="00370779">
        <w:rPr>
          <w:rFonts w:ascii="Segoe UI" w:hAnsi="Segoe UI" w:cs="Segoe UI"/>
          <w:b/>
          <w:sz w:val="22"/>
          <w:szCs w:val="22"/>
        </w:rPr>
        <w:t xml:space="preserve"> on </w:t>
      </w:r>
      <w:r w:rsidR="00B1400D" w:rsidRPr="00370779">
        <w:rPr>
          <w:rFonts w:ascii="Segoe UI" w:hAnsi="Segoe UI" w:cs="Segoe UI"/>
          <w:b/>
          <w:sz w:val="22"/>
          <w:szCs w:val="22"/>
        </w:rPr>
        <w:t>Integrity and Independence</w:t>
      </w:r>
    </w:p>
    <w:p w14:paraId="7861BB8C" w14:textId="77777777" w:rsidR="002A6917" w:rsidRPr="00370779" w:rsidRDefault="002A6917" w:rsidP="005B6E01">
      <w:pPr>
        <w:rPr>
          <w:rFonts w:ascii="Segoe UI" w:hAnsi="Segoe UI" w:cs="Segoe UI"/>
          <w:sz w:val="22"/>
          <w:szCs w:val="22"/>
        </w:rPr>
      </w:pPr>
    </w:p>
    <w:p w14:paraId="2F3B3E9A" w14:textId="3DE5B3D9" w:rsidR="002A6917" w:rsidRPr="00370779" w:rsidRDefault="00D43913" w:rsidP="005B6E01">
      <w:pPr>
        <w:rPr>
          <w:rFonts w:ascii="Segoe UI" w:hAnsi="Segoe UI" w:cs="Segoe UI"/>
          <w:sz w:val="22"/>
          <w:szCs w:val="22"/>
        </w:rPr>
      </w:pPr>
      <w:r w:rsidRPr="00370779">
        <w:rPr>
          <w:rFonts w:ascii="Segoe UI" w:hAnsi="Segoe UI" w:cs="Segoe UI"/>
          <w:sz w:val="22"/>
          <w:szCs w:val="22"/>
        </w:rPr>
        <w:t xml:space="preserve">UNC CPD administers the ACCME accreditation of the UNC School of Medicine.  UNC CPD requires that all activities held </w:t>
      </w:r>
      <w:r w:rsidR="00D657F4" w:rsidRPr="00370779">
        <w:rPr>
          <w:rFonts w:ascii="Segoe UI" w:hAnsi="Segoe UI" w:cs="Segoe UI"/>
          <w:sz w:val="22"/>
          <w:szCs w:val="22"/>
        </w:rPr>
        <w:t xml:space="preserve">under that accreditation comply with the ACCME Standards for Integrity and Independence in Accredited Continuing Education (released December 2020).  This policy </w:t>
      </w:r>
      <w:r w:rsidR="00982D02" w:rsidRPr="00370779">
        <w:rPr>
          <w:rFonts w:ascii="Segoe UI" w:hAnsi="Segoe UI" w:cs="Segoe UI"/>
          <w:sz w:val="22"/>
          <w:szCs w:val="22"/>
        </w:rPr>
        <w:t xml:space="preserve">details the requirements and processes that UNC CPD has developed to ensure </w:t>
      </w:r>
      <w:r w:rsidR="003379AC" w:rsidRPr="00370779">
        <w:rPr>
          <w:rFonts w:ascii="Segoe UI" w:hAnsi="Segoe UI" w:cs="Segoe UI"/>
          <w:sz w:val="22"/>
          <w:szCs w:val="22"/>
        </w:rPr>
        <w:t>that compliance.</w:t>
      </w:r>
    </w:p>
    <w:p w14:paraId="30315A82" w14:textId="7069FC6C" w:rsidR="003379AC" w:rsidRPr="00370779" w:rsidRDefault="003379AC" w:rsidP="005B6E01">
      <w:pPr>
        <w:rPr>
          <w:rFonts w:ascii="Segoe UI" w:hAnsi="Segoe UI" w:cs="Segoe UI"/>
          <w:sz w:val="22"/>
          <w:szCs w:val="22"/>
        </w:rPr>
      </w:pPr>
    </w:p>
    <w:p w14:paraId="2D05BB37" w14:textId="36B452BC" w:rsidR="003379AC" w:rsidRDefault="003379AC" w:rsidP="005B6E01">
      <w:pPr>
        <w:rPr>
          <w:rFonts w:ascii="Segoe UI" w:hAnsi="Segoe UI" w:cs="Segoe UI"/>
          <w:sz w:val="22"/>
          <w:szCs w:val="22"/>
        </w:rPr>
      </w:pPr>
      <w:r w:rsidRPr="00370779">
        <w:rPr>
          <w:rFonts w:ascii="Segoe UI" w:hAnsi="Segoe UI" w:cs="Segoe UI"/>
          <w:sz w:val="22"/>
          <w:szCs w:val="22"/>
        </w:rPr>
        <w:t xml:space="preserve">Throughout the policy, the term “educational partner” refers to the </w:t>
      </w:r>
      <w:r w:rsidR="006759A8" w:rsidRPr="00370779">
        <w:rPr>
          <w:rFonts w:ascii="Segoe UI" w:hAnsi="Segoe UI" w:cs="Segoe UI"/>
          <w:sz w:val="22"/>
          <w:szCs w:val="22"/>
        </w:rPr>
        <w:t xml:space="preserve">organization with primary responsibility for developing the educational content of the activity.  </w:t>
      </w:r>
      <w:r w:rsidR="00E35DFA" w:rsidRPr="00370779">
        <w:rPr>
          <w:rFonts w:ascii="Segoe UI" w:hAnsi="Segoe UI" w:cs="Segoe UI"/>
          <w:sz w:val="22"/>
          <w:szCs w:val="22"/>
        </w:rPr>
        <w:t xml:space="preserve">Such organizations include units of UNC School of Medicine, the larger UNC Chapel Hill campus, </w:t>
      </w:r>
      <w:r w:rsidR="00F10671" w:rsidRPr="00370779">
        <w:rPr>
          <w:rFonts w:ascii="Segoe UI" w:hAnsi="Segoe UI" w:cs="Segoe UI"/>
          <w:sz w:val="22"/>
          <w:szCs w:val="22"/>
        </w:rPr>
        <w:t xml:space="preserve">and UNC Health.  Organizations outside of UNC may also serve as educational partners, as long as their </w:t>
      </w:r>
      <w:r w:rsidR="001A561A" w:rsidRPr="00370779">
        <w:rPr>
          <w:rFonts w:ascii="Segoe UI" w:hAnsi="Segoe UI" w:cs="Segoe UI"/>
          <w:sz w:val="22"/>
          <w:szCs w:val="22"/>
        </w:rPr>
        <w:t xml:space="preserve">mission aligns with that of UNC CPD and they are an </w:t>
      </w:r>
      <w:r w:rsidR="001A561A" w:rsidRPr="00370779">
        <w:rPr>
          <w:rFonts w:ascii="Segoe UI" w:hAnsi="Segoe UI" w:cs="Segoe UI"/>
          <w:i/>
          <w:iCs/>
          <w:sz w:val="22"/>
          <w:szCs w:val="22"/>
        </w:rPr>
        <w:t>eligible organization</w:t>
      </w:r>
      <w:r w:rsidR="00AF27CD" w:rsidRPr="00370779">
        <w:rPr>
          <w:rFonts w:ascii="Segoe UI" w:hAnsi="Segoe UI" w:cs="Segoe UI"/>
          <w:sz w:val="22"/>
          <w:szCs w:val="22"/>
        </w:rPr>
        <w:t xml:space="preserve"> as defined below.</w:t>
      </w:r>
    </w:p>
    <w:p w14:paraId="418FC066" w14:textId="77777777" w:rsidR="00704295" w:rsidRDefault="00704295" w:rsidP="005B6E01">
      <w:pPr>
        <w:rPr>
          <w:rFonts w:ascii="Segoe UI" w:hAnsi="Segoe UI" w:cs="Segoe UI"/>
          <w:sz w:val="22"/>
          <w:szCs w:val="22"/>
        </w:rPr>
      </w:pPr>
    </w:p>
    <w:p w14:paraId="41892BCE" w14:textId="17FC082A" w:rsidR="00704295" w:rsidRPr="00370779" w:rsidRDefault="00704295" w:rsidP="005B6E01">
      <w:pPr>
        <w:rPr>
          <w:rFonts w:ascii="Segoe UI" w:hAnsi="Segoe UI" w:cs="Segoe UI"/>
          <w:sz w:val="22"/>
          <w:szCs w:val="22"/>
        </w:rPr>
      </w:pPr>
      <w:r w:rsidRPr="0016233E">
        <w:rPr>
          <w:rFonts w:ascii="Segoe UI" w:hAnsi="Segoe UI" w:cs="Segoe UI"/>
          <w:sz w:val="22"/>
          <w:szCs w:val="22"/>
        </w:rPr>
        <w:t xml:space="preserve">Each educational partner is required to designate at least one individual to serve as “course director”.  The course director </w:t>
      </w:r>
      <w:r w:rsidR="00BF22EA" w:rsidRPr="0016233E">
        <w:rPr>
          <w:rFonts w:ascii="Segoe UI" w:hAnsi="Segoe UI" w:cs="Segoe UI"/>
          <w:sz w:val="22"/>
          <w:szCs w:val="22"/>
        </w:rPr>
        <w:t xml:space="preserve">must be a relevant content expert and is responsible for </w:t>
      </w:r>
      <w:r w:rsidR="00337925" w:rsidRPr="0016233E">
        <w:rPr>
          <w:rFonts w:ascii="Segoe UI" w:hAnsi="Segoe UI" w:cs="Segoe UI"/>
          <w:sz w:val="22"/>
          <w:szCs w:val="22"/>
        </w:rPr>
        <w:t xml:space="preserve">enforcing </w:t>
      </w:r>
      <w:r w:rsidR="005724DE" w:rsidRPr="0016233E">
        <w:rPr>
          <w:rFonts w:ascii="Segoe UI" w:hAnsi="Segoe UI" w:cs="Segoe UI"/>
          <w:sz w:val="22"/>
          <w:szCs w:val="22"/>
        </w:rPr>
        <w:t>applicable</w:t>
      </w:r>
      <w:r w:rsidR="00337925" w:rsidRPr="0016233E">
        <w:rPr>
          <w:rFonts w:ascii="Segoe UI" w:hAnsi="Segoe UI" w:cs="Segoe UI"/>
          <w:sz w:val="22"/>
          <w:szCs w:val="22"/>
        </w:rPr>
        <w:t xml:space="preserve"> CME policies as described below.</w:t>
      </w:r>
      <w:r w:rsidR="00120AFB" w:rsidRPr="0016233E">
        <w:rPr>
          <w:rFonts w:ascii="Segoe UI" w:hAnsi="Segoe UI" w:cs="Segoe UI"/>
          <w:sz w:val="22"/>
          <w:szCs w:val="22"/>
        </w:rPr>
        <w:t xml:space="preserve">  </w:t>
      </w:r>
      <w:r w:rsidR="00595FD2" w:rsidRPr="0016233E">
        <w:rPr>
          <w:rFonts w:ascii="Segoe UI" w:hAnsi="Segoe UI" w:cs="Segoe UI"/>
          <w:sz w:val="22"/>
          <w:szCs w:val="22"/>
        </w:rPr>
        <w:t>The course director is considered the chief planner, and all</w:t>
      </w:r>
      <w:r w:rsidR="0042654B" w:rsidRPr="0016233E">
        <w:rPr>
          <w:rFonts w:ascii="Segoe UI" w:hAnsi="Segoe UI" w:cs="Segoe UI"/>
          <w:sz w:val="22"/>
          <w:szCs w:val="22"/>
        </w:rPr>
        <w:t xml:space="preserve"> reference</w:t>
      </w:r>
      <w:r w:rsidR="00595FD2" w:rsidRPr="0016233E">
        <w:rPr>
          <w:rFonts w:ascii="Segoe UI" w:hAnsi="Segoe UI" w:cs="Segoe UI"/>
          <w:sz w:val="22"/>
          <w:szCs w:val="22"/>
        </w:rPr>
        <w:t>s</w:t>
      </w:r>
      <w:r w:rsidR="0042654B" w:rsidRPr="0016233E">
        <w:rPr>
          <w:rFonts w:ascii="Segoe UI" w:hAnsi="Segoe UI" w:cs="Segoe UI"/>
          <w:sz w:val="22"/>
          <w:szCs w:val="22"/>
        </w:rPr>
        <w:t xml:space="preserve"> to “planner”</w:t>
      </w:r>
      <w:r w:rsidR="00673F03" w:rsidRPr="0016233E">
        <w:rPr>
          <w:rFonts w:ascii="Segoe UI" w:hAnsi="Segoe UI" w:cs="Segoe UI"/>
          <w:sz w:val="22"/>
          <w:szCs w:val="22"/>
        </w:rPr>
        <w:t xml:space="preserve"> in UNC CPD policies</w:t>
      </w:r>
      <w:r w:rsidR="0042654B" w:rsidRPr="0016233E">
        <w:rPr>
          <w:rFonts w:ascii="Segoe UI" w:hAnsi="Segoe UI" w:cs="Segoe UI"/>
          <w:sz w:val="22"/>
          <w:szCs w:val="22"/>
        </w:rPr>
        <w:t xml:space="preserve"> also </w:t>
      </w:r>
      <w:r w:rsidR="00595FD2" w:rsidRPr="0016233E">
        <w:rPr>
          <w:rFonts w:ascii="Segoe UI" w:hAnsi="Segoe UI" w:cs="Segoe UI"/>
          <w:sz w:val="22"/>
          <w:szCs w:val="22"/>
        </w:rPr>
        <w:t xml:space="preserve">apply to </w:t>
      </w:r>
      <w:r w:rsidR="00673F03" w:rsidRPr="0016233E">
        <w:rPr>
          <w:rFonts w:ascii="Segoe UI" w:hAnsi="Segoe UI" w:cs="Segoe UI"/>
          <w:sz w:val="22"/>
          <w:szCs w:val="22"/>
        </w:rPr>
        <w:t>course directors</w:t>
      </w:r>
      <w:r w:rsidR="00595FD2" w:rsidRPr="0016233E">
        <w:rPr>
          <w:rFonts w:ascii="Segoe UI" w:hAnsi="Segoe UI" w:cs="Segoe UI"/>
          <w:sz w:val="22"/>
          <w:szCs w:val="22"/>
        </w:rPr>
        <w:t xml:space="preserve"> unless otherwise noted.</w:t>
      </w:r>
    </w:p>
    <w:p w14:paraId="3ED6BEFA" w14:textId="4F695E00" w:rsidR="00AF27CD" w:rsidRPr="00370779" w:rsidRDefault="00AF27CD" w:rsidP="005B6E01">
      <w:pPr>
        <w:rPr>
          <w:rFonts w:ascii="Segoe UI" w:hAnsi="Segoe UI" w:cs="Segoe UI"/>
          <w:sz w:val="22"/>
          <w:szCs w:val="22"/>
        </w:rPr>
      </w:pPr>
    </w:p>
    <w:p w14:paraId="18481665" w14:textId="16F36804" w:rsidR="00AF27CD" w:rsidRPr="00370779" w:rsidRDefault="00AF27CD" w:rsidP="005B6E01">
      <w:pPr>
        <w:rPr>
          <w:rFonts w:ascii="Segoe UI" w:hAnsi="Segoe UI" w:cs="Segoe UI"/>
          <w:sz w:val="22"/>
          <w:szCs w:val="22"/>
        </w:rPr>
      </w:pPr>
      <w:r w:rsidRPr="00370779">
        <w:rPr>
          <w:rFonts w:ascii="Segoe UI" w:hAnsi="Segoe UI" w:cs="Segoe UI"/>
          <w:sz w:val="22"/>
          <w:szCs w:val="22"/>
        </w:rPr>
        <w:t>All quotes are taken directly from the Standards for Integrity and Independence in Accredited Continuing Education, ©</w:t>
      </w:r>
      <w:r w:rsidR="00A476CA" w:rsidRPr="00370779">
        <w:rPr>
          <w:rFonts w:ascii="Segoe UI" w:hAnsi="Segoe UI" w:cs="Segoe UI"/>
          <w:sz w:val="22"/>
          <w:szCs w:val="22"/>
        </w:rPr>
        <w:t>2020 by the ACCME®</w:t>
      </w:r>
    </w:p>
    <w:p w14:paraId="2B3AF152" w14:textId="0F489522" w:rsidR="001A561A" w:rsidRPr="00370779" w:rsidRDefault="001A561A" w:rsidP="005B6E01">
      <w:pPr>
        <w:rPr>
          <w:rFonts w:ascii="Segoe UI" w:hAnsi="Segoe UI" w:cs="Segoe UI"/>
          <w:sz w:val="22"/>
          <w:szCs w:val="22"/>
        </w:rPr>
      </w:pPr>
    </w:p>
    <w:p w14:paraId="6E8DF19F" w14:textId="1CF27209" w:rsidR="001A561A" w:rsidRPr="00370779" w:rsidRDefault="001A561A" w:rsidP="005B6E01">
      <w:pPr>
        <w:rPr>
          <w:rFonts w:ascii="Segoe UI" w:hAnsi="Segoe UI" w:cs="Segoe UI"/>
          <w:b/>
          <w:bCs/>
          <w:sz w:val="22"/>
          <w:szCs w:val="22"/>
        </w:rPr>
      </w:pPr>
      <w:r w:rsidRPr="00370779">
        <w:rPr>
          <w:rFonts w:ascii="Segoe UI" w:hAnsi="Segoe UI" w:cs="Segoe UI"/>
          <w:b/>
          <w:bCs/>
          <w:sz w:val="22"/>
          <w:szCs w:val="22"/>
        </w:rPr>
        <w:t>Eligible and Ineligible Organizations</w:t>
      </w:r>
    </w:p>
    <w:p w14:paraId="1C0D7446" w14:textId="268C11B4" w:rsidR="001A561A" w:rsidRPr="00370779" w:rsidRDefault="001A561A" w:rsidP="005B6E01">
      <w:pPr>
        <w:rPr>
          <w:rFonts w:ascii="Segoe UI" w:hAnsi="Segoe UI" w:cs="Segoe UI"/>
          <w:sz w:val="22"/>
          <w:szCs w:val="22"/>
        </w:rPr>
      </w:pPr>
    </w:p>
    <w:p w14:paraId="668FFBE2" w14:textId="1EC5E15E" w:rsidR="000D7267" w:rsidRPr="00370779" w:rsidRDefault="000D7267" w:rsidP="005B6E01">
      <w:pPr>
        <w:rPr>
          <w:rFonts w:ascii="Segoe UI" w:hAnsi="Segoe UI" w:cs="Segoe UI"/>
          <w:sz w:val="22"/>
          <w:szCs w:val="22"/>
        </w:rPr>
      </w:pPr>
      <w:r w:rsidRPr="00370779">
        <w:rPr>
          <w:rFonts w:ascii="Segoe UI" w:hAnsi="Segoe UI" w:cs="Segoe UI"/>
          <w:sz w:val="22"/>
          <w:szCs w:val="22"/>
        </w:rPr>
        <w:t>From the Standards:</w:t>
      </w:r>
    </w:p>
    <w:p w14:paraId="286388A6" w14:textId="77777777" w:rsidR="000D7267" w:rsidRPr="00370779" w:rsidRDefault="000D7267" w:rsidP="005B6E01">
      <w:pPr>
        <w:rPr>
          <w:rFonts w:ascii="Segoe UI" w:hAnsi="Segoe UI" w:cs="Segoe UI"/>
          <w:sz w:val="22"/>
          <w:szCs w:val="22"/>
        </w:rPr>
      </w:pPr>
    </w:p>
    <w:p w14:paraId="697F2572" w14:textId="2EE0EC8F" w:rsidR="001A561A" w:rsidRPr="00370779" w:rsidRDefault="00E56128" w:rsidP="00464498">
      <w:pPr>
        <w:ind w:left="720"/>
        <w:rPr>
          <w:rFonts w:ascii="Segoe UI" w:hAnsi="Segoe UI" w:cs="Segoe UI"/>
          <w:sz w:val="22"/>
          <w:szCs w:val="22"/>
        </w:rPr>
      </w:pPr>
      <w:r w:rsidRPr="00370779">
        <w:rPr>
          <w:rFonts w:ascii="Segoe UI" w:hAnsi="Segoe UI" w:cs="Segoe UI"/>
          <w:sz w:val="22"/>
          <w:szCs w:val="22"/>
        </w:rPr>
        <w:t>Organizations eligible to be accredited in the ACCME System (</w:t>
      </w:r>
      <w:r w:rsidRPr="00370779">
        <w:rPr>
          <w:rFonts w:ascii="Segoe UI" w:hAnsi="Segoe UI" w:cs="Segoe UI"/>
          <w:i/>
          <w:iCs/>
          <w:sz w:val="22"/>
          <w:szCs w:val="22"/>
        </w:rPr>
        <w:t>eligible organizations</w:t>
      </w:r>
      <w:r w:rsidRPr="00370779">
        <w:rPr>
          <w:rFonts w:ascii="Segoe UI" w:hAnsi="Segoe UI" w:cs="Segoe UI"/>
          <w:sz w:val="22"/>
          <w:szCs w:val="22"/>
        </w:rPr>
        <w:t>) are those whose mission and function are: (1) providing clinical services directly to patients; or (2) the education of healthcare professionals; or (3) serving as fiduciary to patients, the public, or population health; and other organizations that are not otherwise ineligible.</w:t>
      </w:r>
    </w:p>
    <w:p w14:paraId="38CFBE0D" w14:textId="14BADA82" w:rsidR="00464498" w:rsidRPr="00370779" w:rsidRDefault="00464498" w:rsidP="005B6E01">
      <w:pPr>
        <w:rPr>
          <w:rFonts w:ascii="Segoe UI" w:hAnsi="Segoe UI" w:cs="Segoe UI"/>
          <w:sz w:val="22"/>
          <w:szCs w:val="22"/>
        </w:rPr>
      </w:pPr>
    </w:p>
    <w:p w14:paraId="5F5D6246" w14:textId="7E687120" w:rsidR="00464498" w:rsidRPr="00370779" w:rsidRDefault="00AF27CD" w:rsidP="00AF27CD">
      <w:pPr>
        <w:ind w:left="720"/>
        <w:rPr>
          <w:rFonts w:ascii="Segoe UI" w:hAnsi="Segoe UI" w:cs="Segoe UI"/>
          <w:sz w:val="22"/>
          <w:szCs w:val="22"/>
        </w:rPr>
      </w:pPr>
      <w:r w:rsidRPr="00370779">
        <w:rPr>
          <w:rFonts w:ascii="Segoe UI" w:hAnsi="Segoe UI" w:cs="Segoe UI"/>
          <w:sz w:val="22"/>
          <w:szCs w:val="22"/>
        </w:rPr>
        <w:t>Companies that are ineligible to be accredited in the ACCME System (</w:t>
      </w:r>
      <w:r w:rsidRPr="00370779">
        <w:rPr>
          <w:rFonts w:ascii="Segoe UI" w:hAnsi="Segoe UI" w:cs="Segoe UI"/>
          <w:i/>
          <w:iCs/>
          <w:sz w:val="22"/>
          <w:szCs w:val="22"/>
        </w:rPr>
        <w:t>ineligible companies</w:t>
      </w:r>
      <w:r w:rsidRPr="00370779">
        <w:rPr>
          <w:rFonts w:ascii="Segoe UI" w:hAnsi="Segoe UI" w:cs="Segoe UI"/>
          <w:sz w:val="22"/>
          <w:szCs w:val="22"/>
        </w:rPr>
        <w:t>) are those whose primary business is producing, marketing, selling, re-selling, or distributing healthcare products used by or on patients.</w:t>
      </w:r>
    </w:p>
    <w:p w14:paraId="55ECE450" w14:textId="3B4FB553" w:rsidR="001A561A" w:rsidRPr="00370779" w:rsidRDefault="001A561A" w:rsidP="005B6E01">
      <w:pPr>
        <w:rPr>
          <w:rFonts w:ascii="Segoe UI" w:hAnsi="Segoe UI" w:cs="Segoe UI"/>
          <w:sz w:val="22"/>
          <w:szCs w:val="22"/>
        </w:rPr>
      </w:pPr>
    </w:p>
    <w:p w14:paraId="7BEC157A" w14:textId="17139C96" w:rsidR="000D7267" w:rsidRPr="00370779" w:rsidRDefault="000D7267" w:rsidP="005B6E01">
      <w:pPr>
        <w:rPr>
          <w:rFonts w:ascii="Segoe UI" w:hAnsi="Segoe UI" w:cs="Segoe UI"/>
          <w:sz w:val="22"/>
          <w:szCs w:val="22"/>
        </w:rPr>
      </w:pPr>
      <w:r w:rsidRPr="00370779">
        <w:rPr>
          <w:rFonts w:ascii="Segoe UI" w:hAnsi="Segoe UI" w:cs="Segoe UI"/>
          <w:sz w:val="22"/>
          <w:szCs w:val="22"/>
        </w:rPr>
        <w:t>Examples of each category may be found in the Standards.</w:t>
      </w:r>
    </w:p>
    <w:p w14:paraId="666AEF22" w14:textId="2F64DC3B" w:rsidR="000D7267" w:rsidRPr="00370779" w:rsidRDefault="000D7267" w:rsidP="005B6E01">
      <w:pPr>
        <w:rPr>
          <w:rFonts w:ascii="Segoe UI" w:hAnsi="Segoe UI" w:cs="Segoe UI"/>
          <w:sz w:val="22"/>
          <w:szCs w:val="22"/>
        </w:rPr>
      </w:pPr>
    </w:p>
    <w:p w14:paraId="4B61A2BE" w14:textId="6D8ADDCD" w:rsidR="000D7267" w:rsidRPr="00370779" w:rsidRDefault="000D7267" w:rsidP="005B6E01">
      <w:pPr>
        <w:rPr>
          <w:rFonts w:ascii="Segoe UI" w:hAnsi="Segoe UI" w:cs="Segoe UI"/>
          <w:b/>
          <w:bCs/>
          <w:sz w:val="22"/>
          <w:szCs w:val="22"/>
        </w:rPr>
      </w:pPr>
      <w:r w:rsidRPr="00370779">
        <w:rPr>
          <w:rFonts w:ascii="Segoe UI" w:hAnsi="Segoe UI" w:cs="Segoe UI"/>
          <w:b/>
          <w:bCs/>
          <w:sz w:val="22"/>
          <w:szCs w:val="22"/>
        </w:rPr>
        <w:t>Standard 1: Ensure Content is Valid</w:t>
      </w:r>
    </w:p>
    <w:p w14:paraId="036BFCE2" w14:textId="60D123DF" w:rsidR="00567B7B" w:rsidRPr="00370779" w:rsidRDefault="00567B7B" w:rsidP="005B6E01">
      <w:pPr>
        <w:rPr>
          <w:rFonts w:ascii="Segoe UI" w:hAnsi="Segoe UI" w:cs="Segoe UI"/>
          <w:sz w:val="22"/>
          <w:szCs w:val="22"/>
        </w:rPr>
      </w:pPr>
    </w:p>
    <w:p w14:paraId="5259FD93" w14:textId="0CA75639" w:rsidR="00567B7B" w:rsidRPr="0016233E" w:rsidRDefault="00567B7B" w:rsidP="005B6E01">
      <w:pPr>
        <w:rPr>
          <w:rFonts w:ascii="Segoe UI" w:hAnsi="Segoe UI" w:cs="Segoe UI"/>
          <w:sz w:val="22"/>
          <w:szCs w:val="22"/>
        </w:rPr>
      </w:pPr>
      <w:r w:rsidRPr="00370779">
        <w:rPr>
          <w:rFonts w:ascii="Segoe UI" w:hAnsi="Segoe UI" w:cs="Segoe UI"/>
          <w:sz w:val="22"/>
          <w:szCs w:val="22"/>
        </w:rPr>
        <w:t xml:space="preserve">The </w:t>
      </w:r>
      <w:r w:rsidRPr="00015B2F">
        <w:rPr>
          <w:rFonts w:ascii="Segoe UI" w:hAnsi="Segoe UI" w:cs="Segoe UI"/>
          <w:i/>
          <w:iCs/>
          <w:sz w:val="22"/>
          <w:szCs w:val="22"/>
        </w:rPr>
        <w:t>UNC CPD Application for CME Credit</w:t>
      </w:r>
      <w:r w:rsidRPr="00370779">
        <w:rPr>
          <w:rFonts w:ascii="Segoe UI" w:hAnsi="Segoe UI" w:cs="Segoe UI"/>
          <w:sz w:val="22"/>
          <w:szCs w:val="22"/>
        </w:rPr>
        <w:t xml:space="preserve"> includes a summary of the rules </w:t>
      </w:r>
      <w:r w:rsidR="00936827" w:rsidRPr="00370779">
        <w:rPr>
          <w:rFonts w:ascii="Segoe UI" w:hAnsi="Segoe UI" w:cs="Segoe UI"/>
          <w:sz w:val="22"/>
          <w:szCs w:val="22"/>
        </w:rPr>
        <w:t xml:space="preserve">from this Standard.  </w:t>
      </w:r>
      <w:r w:rsidR="003966ED">
        <w:rPr>
          <w:rFonts w:ascii="Segoe UI" w:hAnsi="Segoe UI" w:cs="Segoe UI"/>
          <w:color w:val="414141"/>
          <w:sz w:val="23"/>
          <w:szCs w:val="23"/>
          <w:shd w:val="clear" w:color="auto" w:fill="FFFFFF"/>
        </w:rPr>
        <w:t>UNC CPD reiterates this requirement in the </w:t>
      </w:r>
      <w:r w:rsidR="003966ED">
        <w:rPr>
          <w:rStyle w:val="Emphasis"/>
          <w:rFonts w:ascii="Segoe UI" w:hAnsi="Segoe UI" w:cs="Segoe UI"/>
          <w:color w:val="414141"/>
          <w:sz w:val="23"/>
          <w:szCs w:val="23"/>
          <w:shd w:val="clear" w:color="auto" w:fill="FFFFFF"/>
        </w:rPr>
        <w:t>CME Responsibility Summary</w:t>
      </w:r>
      <w:r w:rsidR="003966ED">
        <w:rPr>
          <w:rFonts w:ascii="Segoe UI" w:hAnsi="Segoe UI" w:cs="Segoe UI"/>
          <w:color w:val="414141"/>
          <w:sz w:val="23"/>
          <w:szCs w:val="23"/>
          <w:shd w:val="clear" w:color="auto" w:fill="FFFFFF"/>
        </w:rPr>
        <w:t> which is given to all course directors at the time that UNC CPD agrees to provide credit for an activity. </w:t>
      </w:r>
      <w:r w:rsidR="00EE15CF" w:rsidRPr="00370779">
        <w:rPr>
          <w:rFonts w:ascii="Segoe UI" w:hAnsi="Segoe UI" w:cs="Segoe UI"/>
          <w:sz w:val="22"/>
          <w:szCs w:val="22"/>
        </w:rPr>
        <w:t xml:space="preserve">Finally, the </w:t>
      </w:r>
      <w:r w:rsidR="00EE15CF" w:rsidRPr="00015B2F">
        <w:rPr>
          <w:rFonts w:ascii="Segoe UI" w:hAnsi="Segoe UI" w:cs="Segoe UI"/>
          <w:i/>
          <w:iCs/>
          <w:sz w:val="22"/>
          <w:szCs w:val="22"/>
        </w:rPr>
        <w:lastRenderedPageBreak/>
        <w:t>COI Form</w:t>
      </w:r>
      <w:r w:rsidR="00EE15CF" w:rsidRPr="00370779">
        <w:rPr>
          <w:rFonts w:ascii="Segoe UI" w:hAnsi="Segoe UI" w:cs="Segoe UI"/>
          <w:sz w:val="22"/>
          <w:szCs w:val="22"/>
        </w:rPr>
        <w:t xml:space="preserve"> </w:t>
      </w:r>
      <w:r w:rsidR="00483556" w:rsidRPr="00370779">
        <w:rPr>
          <w:rFonts w:ascii="Segoe UI" w:hAnsi="Segoe UI" w:cs="Segoe UI"/>
          <w:sz w:val="22"/>
          <w:szCs w:val="22"/>
        </w:rPr>
        <w:t xml:space="preserve">reminds all </w:t>
      </w:r>
      <w:r w:rsidR="00483556" w:rsidRPr="0016233E">
        <w:rPr>
          <w:rFonts w:ascii="Segoe UI" w:hAnsi="Segoe UI" w:cs="Segoe UI"/>
          <w:sz w:val="22"/>
          <w:szCs w:val="22"/>
        </w:rPr>
        <w:t>planners and presenters of these requirements.</w:t>
      </w:r>
      <w:r w:rsidR="00AD5D77" w:rsidRPr="0016233E">
        <w:rPr>
          <w:rFonts w:ascii="Segoe UI" w:hAnsi="Segoe UI" w:cs="Segoe UI"/>
          <w:sz w:val="22"/>
          <w:szCs w:val="22"/>
        </w:rPr>
        <w:t xml:space="preserve">  The course director is </w:t>
      </w:r>
      <w:r w:rsidR="00A066AA" w:rsidRPr="0016233E">
        <w:rPr>
          <w:rFonts w:ascii="Segoe UI" w:hAnsi="Segoe UI" w:cs="Segoe UI"/>
          <w:sz w:val="22"/>
          <w:szCs w:val="22"/>
        </w:rPr>
        <w:t xml:space="preserve">primarily </w:t>
      </w:r>
      <w:r w:rsidR="00B968F1" w:rsidRPr="0016233E">
        <w:rPr>
          <w:rFonts w:ascii="Segoe UI" w:hAnsi="Segoe UI" w:cs="Segoe UI"/>
          <w:sz w:val="22"/>
          <w:szCs w:val="22"/>
        </w:rPr>
        <w:t>responsible for enforcing these rules, subject to the oversight of UNC CPD staff.</w:t>
      </w:r>
    </w:p>
    <w:p w14:paraId="0E5C0DE5" w14:textId="7C8DB499" w:rsidR="00483556" w:rsidRPr="0016233E" w:rsidRDefault="00483556" w:rsidP="005B6E01">
      <w:pPr>
        <w:rPr>
          <w:rFonts w:ascii="Segoe UI" w:hAnsi="Segoe UI" w:cs="Segoe UI"/>
          <w:sz w:val="22"/>
          <w:szCs w:val="22"/>
        </w:rPr>
      </w:pPr>
    </w:p>
    <w:p w14:paraId="63564A71" w14:textId="0310F85D" w:rsidR="00483556" w:rsidRPr="0016233E" w:rsidRDefault="00483556" w:rsidP="005B6E01">
      <w:pPr>
        <w:rPr>
          <w:rFonts w:ascii="Segoe UI" w:hAnsi="Segoe UI" w:cs="Segoe UI"/>
          <w:sz w:val="22"/>
          <w:szCs w:val="22"/>
        </w:rPr>
      </w:pPr>
      <w:r w:rsidRPr="0016233E">
        <w:rPr>
          <w:rFonts w:ascii="Segoe UI" w:hAnsi="Segoe UI" w:cs="Segoe UI"/>
          <w:sz w:val="22"/>
          <w:szCs w:val="22"/>
        </w:rPr>
        <w:t xml:space="preserve">The CME Coordinator will review the planning documents and </w:t>
      </w:r>
      <w:r w:rsidR="006A6F15" w:rsidRPr="0016233E">
        <w:rPr>
          <w:rFonts w:ascii="Segoe UI" w:hAnsi="Segoe UI" w:cs="Segoe UI"/>
          <w:sz w:val="22"/>
          <w:szCs w:val="22"/>
        </w:rPr>
        <w:t xml:space="preserve">agenda / content summary for all activities to ensure that the topics </w:t>
      </w:r>
      <w:r w:rsidR="00E338F5" w:rsidRPr="0016233E">
        <w:rPr>
          <w:rFonts w:ascii="Segoe UI" w:hAnsi="Segoe UI" w:cs="Segoe UI"/>
          <w:sz w:val="22"/>
          <w:szCs w:val="22"/>
        </w:rPr>
        <w:t>do not advocate practices that are not currently based on scientific evidence and clinical reasoning.</w:t>
      </w:r>
      <w:r w:rsidR="00302E5F" w:rsidRPr="0016233E">
        <w:rPr>
          <w:rFonts w:ascii="Segoe UI" w:hAnsi="Segoe UI" w:cs="Segoe UI"/>
          <w:sz w:val="22"/>
          <w:szCs w:val="22"/>
        </w:rPr>
        <w:t xml:space="preserve">  Any components of an activity that fail to meet these requirements will not be included for credit (and must </w:t>
      </w:r>
      <w:r w:rsidR="00B1477E" w:rsidRPr="0016233E">
        <w:rPr>
          <w:rFonts w:ascii="Segoe UI" w:hAnsi="Segoe UI" w:cs="Segoe UI"/>
          <w:sz w:val="22"/>
          <w:szCs w:val="22"/>
        </w:rPr>
        <w:t>comply with Standard 5, below).</w:t>
      </w:r>
    </w:p>
    <w:p w14:paraId="3D14B7BD" w14:textId="5ED9B117" w:rsidR="00B1477E" w:rsidRPr="0016233E" w:rsidRDefault="00B1477E" w:rsidP="005B6E01">
      <w:pPr>
        <w:rPr>
          <w:rFonts w:ascii="Segoe UI" w:hAnsi="Segoe UI" w:cs="Segoe UI"/>
          <w:sz w:val="22"/>
          <w:szCs w:val="22"/>
        </w:rPr>
      </w:pPr>
    </w:p>
    <w:p w14:paraId="606BB19F" w14:textId="2695B704" w:rsidR="00B1477E" w:rsidRPr="0016233E" w:rsidRDefault="00B1477E" w:rsidP="005B6E01">
      <w:pPr>
        <w:rPr>
          <w:rFonts w:ascii="Segoe UI" w:hAnsi="Segoe UI" w:cs="Segoe UI"/>
          <w:b/>
          <w:bCs/>
          <w:sz w:val="22"/>
          <w:szCs w:val="22"/>
        </w:rPr>
      </w:pPr>
      <w:r w:rsidRPr="0016233E">
        <w:rPr>
          <w:rFonts w:ascii="Segoe UI" w:hAnsi="Segoe UI" w:cs="Segoe UI"/>
          <w:b/>
          <w:bCs/>
          <w:sz w:val="22"/>
          <w:szCs w:val="22"/>
        </w:rPr>
        <w:t xml:space="preserve">Standard 2: </w:t>
      </w:r>
      <w:r w:rsidR="00A543FF" w:rsidRPr="0016233E">
        <w:rPr>
          <w:rFonts w:ascii="Segoe UI" w:hAnsi="Segoe UI" w:cs="Segoe UI"/>
          <w:b/>
          <w:bCs/>
          <w:sz w:val="22"/>
          <w:szCs w:val="22"/>
        </w:rPr>
        <w:t>Prevent Commercial Bias and Marketing in Accredited Continuing Education</w:t>
      </w:r>
    </w:p>
    <w:p w14:paraId="589ACD8C" w14:textId="45CC5D6F" w:rsidR="00A543FF" w:rsidRPr="0016233E" w:rsidRDefault="00A543FF" w:rsidP="005B6E01">
      <w:pPr>
        <w:rPr>
          <w:rFonts w:ascii="Segoe UI" w:hAnsi="Segoe UI" w:cs="Segoe UI"/>
          <w:sz w:val="22"/>
          <w:szCs w:val="22"/>
        </w:rPr>
      </w:pPr>
    </w:p>
    <w:p w14:paraId="7B5C02BF" w14:textId="7B4DBFF6" w:rsidR="00315C82" w:rsidRPr="0016233E" w:rsidRDefault="006358C1" w:rsidP="005B6E01">
      <w:pPr>
        <w:rPr>
          <w:rFonts w:ascii="Segoe UI" w:hAnsi="Segoe UI" w:cs="Segoe UI"/>
          <w:sz w:val="22"/>
          <w:szCs w:val="22"/>
        </w:rPr>
      </w:pPr>
      <w:r w:rsidRPr="0016233E">
        <w:rPr>
          <w:rFonts w:ascii="Segoe UI" w:hAnsi="Segoe UI" w:cs="Segoe UI"/>
          <w:sz w:val="22"/>
          <w:szCs w:val="22"/>
        </w:rPr>
        <w:t>All individuals involved in planning an activity must submit a COI Form</w:t>
      </w:r>
      <w:r w:rsidR="00FE2F7D" w:rsidRPr="0016233E">
        <w:rPr>
          <w:rFonts w:ascii="Segoe UI" w:hAnsi="Segoe UI" w:cs="Segoe UI"/>
          <w:sz w:val="22"/>
          <w:szCs w:val="22"/>
        </w:rPr>
        <w:t xml:space="preserve"> prior to their involvement</w:t>
      </w:r>
      <w:r w:rsidRPr="0016233E">
        <w:rPr>
          <w:rFonts w:ascii="Segoe UI" w:hAnsi="Segoe UI" w:cs="Segoe UI"/>
          <w:sz w:val="22"/>
          <w:szCs w:val="22"/>
        </w:rPr>
        <w:t xml:space="preserve"> (as described in Standard 3.)  Any individuals who are owners or employees </w:t>
      </w:r>
      <w:r w:rsidR="00027F76" w:rsidRPr="0016233E">
        <w:rPr>
          <w:rFonts w:ascii="Segoe UI" w:hAnsi="Segoe UI" w:cs="Segoe UI"/>
          <w:sz w:val="22"/>
          <w:szCs w:val="22"/>
        </w:rPr>
        <w:t>of an ineligible company cannot be given any role in planning an activity</w:t>
      </w:r>
      <w:r w:rsidR="007D4F07">
        <w:rPr>
          <w:rFonts w:ascii="Segoe UI" w:hAnsi="Segoe UI" w:cs="Segoe UI"/>
          <w:sz w:val="22"/>
          <w:szCs w:val="22"/>
        </w:rPr>
        <w:t xml:space="preserve"> except under the conditions given in Standard 3.2 on page 3</w:t>
      </w:r>
      <w:r w:rsidR="00027F76" w:rsidRPr="0016233E">
        <w:rPr>
          <w:rFonts w:ascii="Segoe UI" w:hAnsi="Segoe UI" w:cs="Segoe UI"/>
          <w:sz w:val="22"/>
          <w:szCs w:val="22"/>
        </w:rPr>
        <w:t>.  Failure to comply with this requirement, or to properly disclose such a relationship, will result in immediate withdrawal of credit.</w:t>
      </w:r>
    </w:p>
    <w:p w14:paraId="47206942" w14:textId="4172EA29" w:rsidR="00027F76" w:rsidRPr="0016233E" w:rsidRDefault="00027F76" w:rsidP="005B6E01">
      <w:pPr>
        <w:rPr>
          <w:rFonts w:ascii="Segoe UI" w:hAnsi="Segoe UI" w:cs="Segoe UI"/>
          <w:sz w:val="22"/>
          <w:szCs w:val="22"/>
        </w:rPr>
      </w:pPr>
    </w:p>
    <w:p w14:paraId="708DF0EC" w14:textId="1E15FB33" w:rsidR="00027F76" w:rsidRPr="0016233E" w:rsidRDefault="0003579B" w:rsidP="005B6E01">
      <w:pPr>
        <w:rPr>
          <w:rFonts w:ascii="Segoe UI" w:hAnsi="Segoe UI" w:cs="Segoe UI"/>
          <w:sz w:val="22"/>
          <w:szCs w:val="22"/>
        </w:rPr>
      </w:pPr>
      <w:r w:rsidRPr="0016233E">
        <w:rPr>
          <w:rFonts w:ascii="Segoe UI" w:hAnsi="Segoe UI" w:cs="Segoe UI"/>
          <w:sz w:val="22"/>
          <w:szCs w:val="22"/>
        </w:rPr>
        <w:t>The CME Coordinator will review the planning documents and agenda / content summary for all activities to ensure tha</w:t>
      </w:r>
      <w:r w:rsidR="00225024" w:rsidRPr="0016233E">
        <w:rPr>
          <w:rFonts w:ascii="Segoe UI" w:hAnsi="Segoe UI" w:cs="Segoe UI"/>
          <w:sz w:val="22"/>
          <w:szCs w:val="22"/>
        </w:rPr>
        <w:t xml:space="preserve">t no marketing or sales activity are included.  This includes promotion </w:t>
      </w:r>
      <w:r w:rsidR="0072718C" w:rsidRPr="0016233E">
        <w:rPr>
          <w:rFonts w:ascii="Segoe UI" w:hAnsi="Segoe UI" w:cs="Segoe UI"/>
          <w:sz w:val="22"/>
          <w:szCs w:val="22"/>
        </w:rPr>
        <w:t>or sales by planners and presenters, even of their own work.  Presenters may not offer books for sale at an accredited event.</w:t>
      </w:r>
    </w:p>
    <w:p w14:paraId="1A26939C" w14:textId="77777777" w:rsidR="00E31668" w:rsidRPr="0016233E" w:rsidRDefault="00E31668" w:rsidP="005B6E01">
      <w:pPr>
        <w:rPr>
          <w:rFonts w:ascii="Segoe UI" w:hAnsi="Segoe UI" w:cs="Segoe UI"/>
          <w:sz w:val="22"/>
          <w:szCs w:val="22"/>
        </w:rPr>
      </w:pPr>
    </w:p>
    <w:p w14:paraId="39BD67C9" w14:textId="48953026" w:rsidR="00E31668" w:rsidRPr="0016233E" w:rsidRDefault="00E31668" w:rsidP="005B6E01">
      <w:pPr>
        <w:rPr>
          <w:rFonts w:ascii="Segoe UI" w:hAnsi="Segoe UI" w:cs="Segoe UI"/>
          <w:sz w:val="22"/>
          <w:szCs w:val="22"/>
        </w:rPr>
      </w:pPr>
      <w:r w:rsidRPr="0016233E">
        <w:rPr>
          <w:rFonts w:ascii="Segoe UI" w:hAnsi="Segoe UI" w:cs="Segoe UI"/>
          <w:sz w:val="22"/>
          <w:szCs w:val="22"/>
        </w:rPr>
        <w:t>Logos</w:t>
      </w:r>
      <w:r w:rsidR="00B50FA3" w:rsidRPr="0016233E">
        <w:rPr>
          <w:rFonts w:ascii="Segoe UI" w:hAnsi="Segoe UI" w:cs="Segoe UI"/>
          <w:sz w:val="22"/>
          <w:szCs w:val="22"/>
        </w:rPr>
        <w:t xml:space="preserve"> and trademarks</w:t>
      </w:r>
      <w:r w:rsidRPr="0016233E">
        <w:rPr>
          <w:rFonts w:ascii="Segoe UI" w:hAnsi="Segoe UI" w:cs="Segoe UI"/>
          <w:sz w:val="22"/>
          <w:szCs w:val="22"/>
        </w:rPr>
        <w:t xml:space="preserve"> of ineligible companies are prohibited from </w:t>
      </w:r>
      <w:r w:rsidR="00842FCA" w:rsidRPr="0016233E">
        <w:rPr>
          <w:rFonts w:ascii="Segoe UI" w:hAnsi="Segoe UI" w:cs="Segoe UI"/>
          <w:sz w:val="22"/>
          <w:szCs w:val="22"/>
        </w:rPr>
        <w:t xml:space="preserve">all promotional materials, educational materials, and </w:t>
      </w:r>
      <w:r w:rsidR="00B50FA3" w:rsidRPr="0016233E">
        <w:rPr>
          <w:rFonts w:ascii="Segoe UI" w:hAnsi="Segoe UI" w:cs="Segoe UI"/>
          <w:sz w:val="22"/>
          <w:szCs w:val="22"/>
        </w:rPr>
        <w:t>educational spaces of UNC CPD activities.  Logos and trademarks are permitted within exhibit spaces</w:t>
      </w:r>
      <w:r w:rsidR="00F16754" w:rsidRPr="0016233E">
        <w:rPr>
          <w:rFonts w:ascii="Segoe UI" w:hAnsi="Segoe UI" w:cs="Segoe UI"/>
          <w:sz w:val="22"/>
          <w:szCs w:val="22"/>
        </w:rPr>
        <w:t>, as exhibit spaces must be distinct from educational spaces.</w:t>
      </w:r>
      <w:r w:rsidR="000931C0" w:rsidRPr="0016233E">
        <w:rPr>
          <w:rFonts w:ascii="Segoe UI" w:hAnsi="Segoe UI" w:cs="Segoe UI"/>
          <w:sz w:val="22"/>
          <w:szCs w:val="22"/>
        </w:rPr>
        <w:t xml:space="preserve">  See Section 5 for rules regarding exhibits.</w:t>
      </w:r>
    </w:p>
    <w:p w14:paraId="09D58A8D" w14:textId="406A7008" w:rsidR="00B1400D" w:rsidRPr="0016233E" w:rsidRDefault="00B1400D" w:rsidP="005B6E01">
      <w:pPr>
        <w:rPr>
          <w:rFonts w:ascii="Segoe UI" w:hAnsi="Segoe UI" w:cs="Segoe UI"/>
          <w:sz w:val="22"/>
          <w:szCs w:val="22"/>
        </w:rPr>
      </w:pPr>
    </w:p>
    <w:p w14:paraId="4E58B9E6" w14:textId="35FAEC1D" w:rsidR="00D031EB" w:rsidRPr="0016233E" w:rsidRDefault="00D031EB" w:rsidP="005B6E01">
      <w:pPr>
        <w:rPr>
          <w:rFonts w:ascii="Segoe UI" w:hAnsi="Segoe UI" w:cs="Segoe UI"/>
          <w:sz w:val="22"/>
          <w:szCs w:val="22"/>
        </w:rPr>
      </w:pPr>
      <w:r w:rsidRPr="0016233E">
        <w:rPr>
          <w:rFonts w:ascii="Segoe UI" w:hAnsi="Segoe UI" w:cs="Segoe UI"/>
          <w:sz w:val="22"/>
          <w:szCs w:val="22"/>
        </w:rPr>
        <w:t>UNC CPD</w:t>
      </w:r>
      <w:r w:rsidR="0057727B" w:rsidRPr="0016233E">
        <w:rPr>
          <w:rFonts w:ascii="Segoe UI" w:hAnsi="Segoe UI" w:cs="Segoe UI"/>
          <w:sz w:val="22"/>
          <w:szCs w:val="22"/>
        </w:rPr>
        <w:t xml:space="preserve"> shares </w:t>
      </w:r>
      <w:r w:rsidR="00023BBD" w:rsidRPr="0016233E">
        <w:rPr>
          <w:rFonts w:ascii="Segoe UI" w:hAnsi="Segoe UI" w:cs="Segoe UI"/>
          <w:sz w:val="22"/>
          <w:szCs w:val="22"/>
        </w:rPr>
        <w:t xml:space="preserve">unredacted </w:t>
      </w:r>
      <w:r w:rsidR="0057727B" w:rsidRPr="0016233E">
        <w:rPr>
          <w:rFonts w:ascii="Segoe UI" w:hAnsi="Segoe UI" w:cs="Segoe UI"/>
          <w:sz w:val="22"/>
          <w:szCs w:val="22"/>
        </w:rPr>
        <w:t>participant data for a given activity with the educational partner(s) in question</w:t>
      </w:r>
      <w:r w:rsidR="006C0058" w:rsidRPr="0016233E">
        <w:rPr>
          <w:rFonts w:ascii="Segoe UI" w:hAnsi="Segoe UI" w:cs="Segoe UI"/>
          <w:sz w:val="22"/>
          <w:szCs w:val="22"/>
        </w:rPr>
        <w:t xml:space="preserve"> </w:t>
      </w:r>
      <w:r w:rsidR="0057727B" w:rsidRPr="0016233E">
        <w:rPr>
          <w:rFonts w:ascii="Segoe UI" w:hAnsi="Segoe UI" w:cs="Segoe UI"/>
          <w:sz w:val="22"/>
          <w:szCs w:val="22"/>
        </w:rPr>
        <w:t xml:space="preserve">and </w:t>
      </w:r>
      <w:r w:rsidR="00023BBD" w:rsidRPr="0016233E">
        <w:rPr>
          <w:rFonts w:ascii="Segoe UI" w:hAnsi="Segoe UI" w:cs="Segoe UI"/>
          <w:sz w:val="22"/>
          <w:szCs w:val="22"/>
        </w:rPr>
        <w:t xml:space="preserve">may submit such data to </w:t>
      </w:r>
      <w:r w:rsidR="006C0058" w:rsidRPr="0016233E">
        <w:rPr>
          <w:rFonts w:ascii="Segoe UI" w:hAnsi="Segoe UI" w:cs="Segoe UI"/>
          <w:sz w:val="22"/>
          <w:szCs w:val="22"/>
        </w:rPr>
        <w:t xml:space="preserve">the ACCME.  UNC CPD does not provide participant names or contact information to any other organizations.  UNC CPD may provide aggregate, anonymized participant data to various </w:t>
      </w:r>
      <w:r w:rsidR="0094089A" w:rsidRPr="0016233E">
        <w:rPr>
          <w:rFonts w:ascii="Segoe UI" w:hAnsi="Segoe UI" w:cs="Segoe UI"/>
          <w:sz w:val="22"/>
          <w:szCs w:val="22"/>
        </w:rPr>
        <w:t>organizations for administrative purposes</w:t>
      </w:r>
      <w:r w:rsidR="00FE2F7D" w:rsidRPr="0016233E">
        <w:rPr>
          <w:rFonts w:ascii="Segoe UI" w:hAnsi="Segoe UI" w:cs="Segoe UI"/>
          <w:sz w:val="22"/>
          <w:szCs w:val="22"/>
        </w:rPr>
        <w:t>, but not for marketing of any sort.</w:t>
      </w:r>
    </w:p>
    <w:p w14:paraId="7640D785" w14:textId="3098F1FE" w:rsidR="00FE2F7D" w:rsidRPr="0016233E" w:rsidRDefault="00FE2F7D" w:rsidP="005B6E01">
      <w:pPr>
        <w:rPr>
          <w:rFonts w:ascii="Segoe UI" w:hAnsi="Segoe UI" w:cs="Segoe UI"/>
          <w:sz w:val="22"/>
          <w:szCs w:val="22"/>
        </w:rPr>
      </w:pPr>
    </w:p>
    <w:p w14:paraId="76886DAB" w14:textId="4765BED6" w:rsidR="00FE2F7D" w:rsidRPr="0016233E" w:rsidRDefault="00073051" w:rsidP="005B6E01">
      <w:pPr>
        <w:rPr>
          <w:rFonts w:ascii="Segoe UI" w:hAnsi="Segoe UI" w:cs="Segoe UI"/>
          <w:b/>
          <w:bCs/>
          <w:sz w:val="22"/>
          <w:szCs w:val="22"/>
        </w:rPr>
      </w:pPr>
      <w:r w:rsidRPr="0016233E">
        <w:rPr>
          <w:rFonts w:ascii="Segoe UI" w:hAnsi="Segoe UI" w:cs="Segoe UI"/>
          <w:b/>
          <w:bCs/>
          <w:sz w:val="22"/>
          <w:szCs w:val="22"/>
        </w:rPr>
        <w:t>Standard 3: Identify, Mitigate, and Disclose Relevant Financial Relationships</w:t>
      </w:r>
    </w:p>
    <w:p w14:paraId="2556E85E" w14:textId="121D22B6" w:rsidR="00073051" w:rsidRPr="0016233E" w:rsidRDefault="00073051" w:rsidP="005B6E01">
      <w:pPr>
        <w:rPr>
          <w:rFonts w:ascii="Segoe UI" w:hAnsi="Segoe UI" w:cs="Segoe UI"/>
          <w:sz w:val="22"/>
          <w:szCs w:val="22"/>
        </w:rPr>
      </w:pPr>
    </w:p>
    <w:p w14:paraId="02C95B51" w14:textId="6BA71ABA" w:rsidR="00073051" w:rsidRPr="0016233E" w:rsidRDefault="00742BC3" w:rsidP="005B6E01">
      <w:pPr>
        <w:rPr>
          <w:rFonts w:ascii="Segoe UI" w:hAnsi="Segoe UI" w:cs="Segoe UI"/>
          <w:sz w:val="22"/>
          <w:szCs w:val="22"/>
        </w:rPr>
      </w:pPr>
      <w:r w:rsidRPr="0016233E">
        <w:rPr>
          <w:rFonts w:ascii="Segoe UI" w:hAnsi="Segoe UI" w:cs="Segoe UI"/>
          <w:sz w:val="22"/>
          <w:szCs w:val="22"/>
        </w:rPr>
        <w:t xml:space="preserve">This standard requires the most complex </w:t>
      </w:r>
      <w:r w:rsidR="008E7E1F" w:rsidRPr="0016233E">
        <w:rPr>
          <w:rFonts w:ascii="Segoe UI" w:hAnsi="Segoe UI" w:cs="Segoe UI"/>
          <w:sz w:val="22"/>
          <w:szCs w:val="22"/>
        </w:rPr>
        <w:t>procedures</w:t>
      </w:r>
      <w:r w:rsidRPr="0016233E">
        <w:rPr>
          <w:rFonts w:ascii="Segoe UI" w:hAnsi="Segoe UI" w:cs="Segoe UI"/>
          <w:sz w:val="22"/>
          <w:szCs w:val="22"/>
        </w:rPr>
        <w:t>; therefore, it is reproduced here in its entirety:</w:t>
      </w:r>
    </w:p>
    <w:p w14:paraId="6C6C1C40" w14:textId="0A84A64F" w:rsidR="00742BC3" w:rsidRPr="0016233E" w:rsidRDefault="00742BC3" w:rsidP="005B6E01">
      <w:pPr>
        <w:rPr>
          <w:rFonts w:ascii="Segoe UI" w:hAnsi="Segoe UI" w:cs="Segoe UI"/>
          <w:sz w:val="22"/>
          <w:szCs w:val="22"/>
        </w:rPr>
      </w:pPr>
    </w:p>
    <w:p w14:paraId="25AAA1C6" w14:textId="77777777" w:rsidR="00742BC3" w:rsidRPr="0016233E" w:rsidRDefault="00742BC3" w:rsidP="00742BC3">
      <w:pPr>
        <w:pStyle w:val="Default"/>
        <w:ind w:left="-360" w:right="-360"/>
        <w:jc w:val="center"/>
        <w:rPr>
          <w:rFonts w:ascii="Segoe UI" w:hAnsi="Segoe UI" w:cs="Segoe UI"/>
          <w:color w:val="auto"/>
          <w:sz w:val="22"/>
          <w:szCs w:val="22"/>
        </w:rPr>
      </w:pPr>
      <w:r w:rsidRPr="0016233E">
        <w:rPr>
          <w:rFonts w:ascii="Segoe UI" w:hAnsi="Segoe UI" w:cs="Segoe UI"/>
          <w:b/>
          <w:bCs/>
          <w:color w:val="auto"/>
          <w:sz w:val="22"/>
          <w:szCs w:val="22"/>
        </w:rPr>
        <w:t xml:space="preserve">Standard 3: Identify, Mitigate, and Disclose Relevant Financial Relationships </w:t>
      </w:r>
    </w:p>
    <w:p w14:paraId="1E0CEA45" w14:textId="77777777" w:rsidR="00742BC3" w:rsidRPr="0016233E" w:rsidRDefault="00742BC3" w:rsidP="00742BC3">
      <w:pPr>
        <w:pStyle w:val="Default"/>
        <w:spacing w:after="60"/>
        <w:jc w:val="center"/>
        <w:rPr>
          <w:rFonts w:ascii="Segoe UI" w:hAnsi="Segoe UI" w:cs="Segoe UI"/>
          <w:sz w:val="22"/>
          <w:szCs w:val="22"/>
        </w:rPr>
      </w:pPr>
      <w:r w:rsidRPr="0016233E">
        <w:rPr>
          <w:rFonts w:ascii="Segoe UI" w:hAnsi="Segoe UI" w:cs="Segoe UI"/>
          <w:sz w:val="22"/>
          <w:szCs w:val="22"/>
        </w:rPr>
        <w:t xml:space="preserve">Standard 3 applies to all accredited continuing education. </w:t>
      </w:r>
    </w:p>
    <w:p w14:paraId="70841B86" w14:textId="77777777" w:rsidR="00742BC3" w:rsidRPr="0016233E" w:rsidRDefault="00742BC3" w:rsidP="00742BC3">
      <w:pPr>
        <w:pStyle w:val="Default"/>
        <w:spacing w:before="120" w:after="60"/>
        <w:ind w:left="720"/>
        <w:rPr>
          <w:rFonts w:ascii="Segoe UI" w:hAnsi="Segoe UI" w:cs="Segoe UI"/>
          <w:sz w:val="22"/>
          <w:szCs w:val="22"/>
        </w:rPr>
      </w:pPr>
      <w:r w:rsidRPr="0016233E">
        <w:rPr>
          <w:rFonts w:ascii="Segoe UI" w:hAnsi="Segoe UI" w:cs="Segoe UI"/>
          <w:sz w:val="22"/>
          <w:szCs w:val="22"/>
        </w:rPr>
        <w:t xml:space="preserve">Many healthcare professionals have financial relationships with ineligible companies. These relationships must not be allowed to influence accredited continuing education. The accredited provider is responsible for identifying </w:t>
      </w:r>
      <w:r w:rsidRPr="0016233E">
        <w:rPr>
          <w:rFonts w:ascii="Segoe UI" w:hAnsi="Segoe UI" w:cs="Segoe UI"/>
          <w:b/>
          <w:bCs/>
          <w:i/>
          <w:iCs/>
          <w:color w:val="006EC0"/>
          <w:sz w:val="22"/>
          <w:szCs w:val="22"/>
        </w:rPr>
        <w:t xml:space="preserve">relevant financial relationships </w:t>
      </w:r>
      <w:r w:rsidRPr="0016233E">
        <w:rPr>
          <w:rFonts w:ascii="Segoe UI" w:hAnsi="Segoe UI" w:cs="Segoe UI"/>
          <w:sz w:val="22"/>
          <w:szCs w:val="22"/>
        </w:rPr>
        <w:t xml:space="preserve">between individuals in control of educational content and ineligible companies and </w:t>
      </w:r>
      <w:r w:rsidRPr="0016233E">
        <w:rPr>
          <w:rFonts w:ascii="Segoe UI" w:hAnsi="Segoe UI" w:cs="Segoe UI"/>
          <w:sz w:val="22"/>
          <w:szCs w:val="22"/>
        </w:rPr>
        <w:lastRenderedPageBreak/>
        <w:t xml:space="preserve">managing these to ensure they do not introduce commercial bias into the education. Financial relationships of any dollar amount are defined as relevant if the educational content is related to the business lines or products of the ineligible company. </w:t>
      </w:r>
    </w:p>
    <w:p w14:paraId="1720E84E" w14:textId="77777777" w:rsidR="00742BC3" w:rsidRPr="0016233E" w:rsidRDefault="00742BC3" w:rsidP="00742BC3">
      <w:pPr>
        <w:pStyle w:val="Default"/>
        <w:spacing w:before="120" w:after="60"/>
        <w:ind w:left="720"/>
        <w:rPr>
          <w:rFonts w:ascii="Segoe UI" w:hAnsi="Segoe UI" w:cs="Segoe UI"/>
          <w:sz w:val="22"/>
          <w:szCs w:val="22"/>
        </w:rPr>
      </w:pPr>
      <w:r w:rsidRPr="0016233E">
        <w:rPr>
          <w:rFonts w:ascii="Segoe UI" w:hAnsi="Segoe UI" w:cs="Segoe UI"/>
          <w:sz w:val="22"/>
          <w:szCs w:val="22"/>
        </w:rPr>
        <w:t xml:space="preserve">Accredited providers must take the following steps when developing accredited continuing education. Exceptions are listed at the end of Standard 3. </w:t>
      </w:r>
    </w:p>
    <w:p w14:paraId="647CBF4B" w14:textId="77777777" w:rsidR="00742BC3" w:rsidRPr="0016233E" w:rsidRDefault="00742BC3" w:rsidP="00742BC3">
      <w:pPr>
        <w:pStyle w:val="Default"/>
        <w:spacing w:before="120"/>
        <w:ind w:left="1080" w:hanging="360"/>
        <w:rPr>
          <w:rFonts w:ascii="Segoe UI" w:hAnsi="Segoe UI" w:cs="Segoe UI"/>
          <w:sz w:val="22"/>
          <w:szCs w:val="22"/>
        </w:rPr>
      </w:pPr>
      <w:r w:rsidRPr="0016233E">
        <w:rPr>
          <w:rFonts w:ascii="Segoe UI" w:hAnsi="Segoe UI" w:cs="Segoe UI"/>
          <w:sz w:val="22"/>
          <w:szCs w:val="22"/>
        </w:rPr>
        <w:t xml:space="preserve">1. </w:t>
      </w:r>
      <w:r w:rsidRPr="0016233E">
        <w:rPr>
          <w:rFonts w:ascii="Segoe UI" w:hAnsi="Segoe UI" w:cs="Segoe UI"/>
          <w:b/>
          <w:bCs/>
          <w:sz w:val="22"/>
          <w:szCs w:val="22"/>
        </w:rPr>
        <w:t>Collect information</w:t>
      </w:r>
      <w:r w:rsidRPr="0016233E">
        <w:rPr>
          <w:rFonts w:ascii="Segoe UI" w:hAnsi="Segoe UI" w:cs="Segoe UI"/>
          <w:sz w:val="22"/>
          <w:szCs w:val="22"/>
        </w:rPr>
        <w:t xml:space="preserve">: Collect information from all planners, faculty, and others in control of educational content about </w:t>
      </w:r>
      <w:r w:rsidRPr="0016233E">
        <w:rPr>
          <w:rFonts w:ascii="Segoe UI" w:hAnsi="Segoe UI" w:cs="Segoe UI"/>
          <w:b/>
          <w:bCs/>
          <w:sz w:val="22"/>
          <w:szCs w:val="22"/>
        </w:rPr>
        <w:t xml:space="preserve">all </w:t>
      </w:r>
      <w:r w:rsidRPr="0016233E">
        <w:rPr>
          <w:rFonts w:ascii="Segoe UI" w:hAnsi="Segoe UI" w:cs="Segoe UI"/>
          <w:sz w:val="22"/>
          <w:szCs w:val="22"/>
        </w:rPr>
        <w:t xml:space="preserve">their financial relationships with ineligible companies within the prior </w:t>
      </w:r>
      <w:r w:rsidRPr="0016233E">
        <w:rPr>
          <w:rFonts w:ascii="Segoe UI" w:hAnsi="Segoe UI" w:cs="Segoe UI"/>
          <w:b/>
          <w:bCs/>
          <w:sz w:val="22"/>
          <w:szCs w:val="22"/>
        </w:rPr>
        <w:t xml:space="preserve">24 </w:t>
      </w:r>
      <w:r w:rsidRPr="0016233E">
        <w:rPr>
          <w:rFonts w:ascii="Segoe UI" w:hAnsi="Segoe UI" w:cs="Segoe UI"/>
          <w:sz w:val="22"/>
          <w:szCs w:val="22"/>
        </w:rPr>
        <w:t xml:space="preserve">months. There is no minimum financial threshold; individuals must disclose all financial relationships, regardless of the amount, with ineligible companies. Individuals must disclose regardless of their view of the relevance of the relationship to the education. </w:t>
      </w:r>
    </w:p>
    <w:p w14:paraId="20C37A9D" w14:textId="77777777" w:rsidR="00742BC3" w:rsidRPr="0016233E" w:rsidRDefault="00742BC3" w:rsidP="00742BC3">
      <w:pPr>
        <w:pStyle w:val="Default"/>
        <w:ind w:left="720"/>
        <w:rPr>
          <w:rFonts w:ascii="Segoe UI" w:hAnsi="Segoe UI" w:cs="Segoe UI"/>
          <w:sz w:val="22"/>
          <w:szCs w:val="22"/>
        </w:rPr>
      </w:pPr>
    </w:p>
    <w:p w14:paraId="06438EC3" w14:textId="77777777" w:rsidR="00742BC3" w:rsidRPr="0016233E" w:rsidRDefault="00742BC3" w:rsidP="00742BC3">
      <w:pPr>
        <w:pStyle w:val="Default"/>
        <w:spacing w:before="60"/>
        <w:ind w:left="1080"/>
        <w:rPr>
          <w:rFonts w:ascii="Segoe UI" w:hAnsi="Segoe UI" w:cs="Segoe UI"/>
          <w:sz w:val="22"/>
          <w:szCs w:val="22"/>
        </w:rPr>
      </w:pPr>
      <w:r w:rsidRPr="0016233E">
        <w:rPr>
          <w:rFonts w:ascii="Segoe UI" w:hAnsi="Segoe UI" w:cs="Segoe UI"/>
          <w:sz w:val="22"/>
          <w:szCs w:val="22"/>
        </w:rPr>
        <w:t xml:space="preserve">Disclosure information must include: </w:t>
      </w:r>
    </w:p>
    <w:p w14:paraId="68C88B61" w14:textId="77777777" w:rsidR="00742BC3" w:rsidRPr="0016233E" w:rsidRDefault="00742BC3" w:rsidP="00742BC3">
      <w:pPr>
        <w:pStyle w:val="Default"/>
        <w:ind w:left="1440" w:hanging="360"/>
        <w:rPr>
          <w:rFonts w:ascii="Segoe UI" w:hAnsi="Segoe UI" w:cs="Segoe UI"/>
          <w:sz w:val="22"/>
          <w:szCs w:val="22"/>
        </w:rPr>
      </w:pPr>
      <w:r w:rsidRPr="0016233E">
        <w:rPr>
          <w:rFonts w:ascii="Segoe UI" w:hAnsi="Segoe UI" w:cs="Segoe UI"/>
          <w:sz w:val="22"/>
          <w:szCs w:val="22"/>
        </w:rPr>
        <w:t xml:space="preserve">a. The name of the ineligible company with which the person has a financial relationship. </w:t>
      </w:r>
    </w:p>
    <w:p w14:paraId="7097FF72" w14:textId="77777777" w:rsidR="00742BC3" w:rsidRPr="0016233E" w:rsidRDefault="00742BC3" w:rsidP="00742BC3">
      <w:pPr>
        <w:pStyle w:val="Default"/>
        <w:ind w:left="1440" w:hanging="360"/>
        <w:rPr>
          <w:rFonts w:ascii="Segoe UI" w:hAnsi="Segoe UI" w:cs="Segoe UI"/>
          <w:sz w:val="22"/>
          <w:szCs w:val="22"/>
        </w:rPr>
      </w:pPr>
      <w:r w:rsidRPr="0016233E">
        <w:rPr>
          <w:rFonts w:ascii="Segoe UI" w:hAnsi="Segoe UI" w:cs="Segoe UI"/>
          <w:sz w:val="22"/>
          <w:szCs w:val="22"/>
        </w:rPr>
        <w:t xml:space="preserve">b. The nature of the financial relationship. Examples of financial relationships include employee, researcher, consultant, advisor, speaker, independent contractor (including contracted research), royalties or patent beneficiary, executive role, and ownership interest. Individual stocks and stock options should be disclosed; diversified mutual funds do not need to be disclosed. Research funding from ineligible companies should be disclosed by the principal or named investigator even if that individual’s institution receives the research grant and manages the funds. </w:t>
      </w:r>
    </w:p>
    <w:p w14:paraId="122FB83F" w14:textId="77777777" w:rsidR="00742BC3" w:rsidRPr="0016233E" w:rsidRDefault="00742BC3" w:rsidP="00742BC3">
      <w:pPr>
        <w:pStyle w:val="Default"/>
        <w:spacing w:before="100"/>
        <w:ind w:left="1080" w:hanging="360"/>
        <w:rPr>
          <w:rFonts w:ascii="Segoe UI" w:hAnsi="Segoe UI" w:cs="Segoe UI"/>
          <w:sz w:val="22"/>
          <w:szCs w:val="22"/>
        </w:rPr>
      </w:pPr>
      <w:r w:rsidRPr="0016233E">
        <w:rPr>
          <w:rFonts w:ascii="Segoe UI" w:hAnsi="Segoe UI" w:cs="Segoe UI"/>
          <w:sz w:val="22"/>
          <w:szCs w:val="22"/>
        </w:rPr>
        <w:t xml:space="preserve">2. </w:t>
      </w:r>
      <w:r w:rsidRPr="0016233E">
        <w:rPr>
          <w:rFonts w:ascii="Segoe UI" w:hAnsi="Segoe UI" w:cs="Segoe UI"/>
          <w:b/>
          <w:bCs/>
          <w:sz w:val="22"/>
          <w:szCs w:val="22"/>
        </w:rPr>
        <w:t>Exclude owners or employees of ineligible companies</w:t>
      </w:r>
      <w:r w:rsidRPr="0016233E">
        <w:rPr>
          <w:rFonts w:ascii="Segoe UI" w:hAnsi="Segoe UI" w:cs="Segoe UI"/>
          <w:sz w:val="22"/>
          <w:szCs w:val="22"/>
        </w:rPr>
        <w:t xml:space="preserve">: Review the information about financial relationships to identify individuals who are owners or employees of ineligible companies. These individuals must be excluded from controlling content or participating as planners or faculty in accredited education. There are three exceptions to this exclusion—employees of ineligible companies can participate as planners or faculty in these specific situations: </w:t>
      </w:r>
    </w:p>
    <w:p w14:paraId="4BBBF7DE" w14:textId="77777777" w:rsidR="00742BC3" w:rsidRPr="0016233E" w:rsidRDefault="00742BC3" w:rsidP="00742BC3">
      <w:pPr>
        <w:pStyle w:val="Default"/>
        <w:spacing w:before="100"/>
        <w:ind w:left="1080"/>
        <w:rPr>
          <w:rFonts w:ascii="Segoe UI" w:hAnsi="Segoe UI" w:cs="Segoe UI"/>
          <w:sz w:val="22"/>
          <w:szCs w:val="22"/>
        </w:rPr>
      </w:pPr>
      <w:r w:rsidRPr="0016233E">
        <w:rPr>
          <w:rFonts w:ascii="Segoe UI" w:hAnsi="Segoe UI" w:cs="Segoe UI"/>
          <w:sz w:val="22"/>
          <w:szCs w:val="22"/>
        </w:rPr>
        <w:t xml:space="preserve">a. When the content of the activity is not related to the business lines or products of their employer/company. </w:t>
      </w:r>
    </w:p>
    <w:p w14:paraId="0520D538" w14:textId="77777777" w:rsidR="00742BC3" w:rsidRPr="0016233E" w:rsidRDefault="00742BC3" w:rsidP="00742BC3">
      <w:pPr>
        <w:pStyle w:val="Default"/>
        <w:spacing w:before="100"/>
        <w:ind w:left="1440" w:hanging="360"/>
        <w:rPr>
          <w:rFonts w:ascii="Segoe UI" w:hAnsi="Segoe UI" w:cs="Segoe UI"/>
          <w:sz w:val="22"/>
          <w:szCs w:val="22"/>
        </w:rPr>
      </w:pPr>
      <w:r w:rsidRPr="0016233E">
        <w:rPr>
          <w:rFonts w:ascii="Segoe UI" w:hAnsi="Segoe UI" w:cs="Segoe UI"/>
          <w:sz w:val="22"/>
          <w:szCs w:val="22"/>
        </w:rPr>
        <w:t xml:space="preserve">b. When the content of the accredited activity is limited to basic science research, such as pre-clinical research and drug discovery, or the methodologies of research, and they do not make care recommendations. </w:t>
      </w:r>
    </w:p>
    <w:p w14:paraId="57A08974" w14:textId="77777777" w:rsidR="00742BC3" w:rsidRPr="0016233E" w:rsidRDefault="00742BC3" w:rsidP="00742BC3">
      <w:pPr>
        <w:pStyle w:val="Default"/>
        <w:spacing w:before="100"/>
        <w:ind w:left="1440" w:hanging="360"/>
        <w:rPr>
          <w:rFonts w:ascii="Segoe UI" w:hAnsi="Segoe UI" w:cs="Segoe UI"/>
          <w:sz w:val="22"/>
          <w:szCs w:val="22"/>
        </w:rPr>
      </w:pPr>
      <w:r w:rsidRPr="0016233E">
        <w:rPr>
          <w:rFonts w:ascii="Segoe UI" w:hAnsi="Segoe UI" w:cs="Segoe UI"/>
          <w:sz w:val="22"/>
          <w:szCs w:val="22"/>
        </w:rPr>
        <w:t xml:space="preserve">c. When they are participating as technicians to teach the safe and proper use of medical devices, and do not recommend whether or when a device is used. </w:t>
      </w:r>
    </w:p>
    <w:p w14:paraId="44C60540" w14:textId="77777777" w:rsidR="00742BC3" w:rsidRPr="0016233E" w:rsidRDefault="00742BC3" w:rsidP="00742BC3">
      <w:pPr>
        <w:pStyle w:val="Default"/>
        <w:spacing w:before="100"/>
        <w:ind w:left="1080" w:hanging="360"/>
        <w:rPr>
          <w:rFonts w:ascii="Segoe UI" w:hAnsi="Segoe UI" w:cs="Segoe UI"/>
          <w:sz w:val="22"/>
          <w:szCs w:val="22"/>
        </w:rPr>
      </w:pPr>
      <w:r w:rsidRPr="0016233E">
        <w:rPr>
          <w:rFonts w:ascii="Segoe UI" w:hAnsi="Segoe UI" w:cs="Segoe UI"/>
          <w:sz w:val="22"/>
          <w:szCs w:val="22"/>
        </w:rPr>
        <w:t xml:space="preserve">3. </w:t>
      </w:r>
      <w:r w:rsidRPr="0016233E">
        <w:rPr>
          <w:rFonts w:ascii="Segoe UI" w:hAnsi="Segoe UI" w:cs="Segoe UI"/>
          <w:b/>
          <w:bCs/>
          <w:sz w:val="22"/>
          <w:szCs w:val="22"/>
        </w:rPr>
        <w:t>Identify relevant financial relationships</w:t>
      </w:r>
      <w:r w:rsidRPr="0016233E">
        <w:rPr>
          <w:rFonts w:ascii="Segoe UI" w:hAnsi="Segoe UI" w:cs="Segoe UI"/>
          <w:sz w:val="22"/>
          <w:szCs w:val="22"/>
        </w:rPr>
        <w:t xml:space="preserve">: Review the information about financial relationships to determine which relationships are relevant. Financial relationships are relevant if the educational content an individual can control is related to the business lines or products of the ineligible company. </w:t>
      </w:r>
    </w:p>
    <w:p w14:paraId="7BC4477B" w14:textId="77777777" w:rsidR="00742BC3" w:rsidRPr="0016233E" w:rsidRDefault="00742BC3" w:rsidP="00742BC3">
      <w:pPr>
        <w:pStyle w:val="Default"/>
        <w:spacing w:before="100" w:after="200"/>
        <w:ind w:left="1080" w:hanging="360"/>
        <w:rPr>
          <w:rFonts w:ascii="Segoe UI" w:hAnsi="Segoe UI" w:cs="Segoe UI"/>
          <w:sz w:val="22"/>
          <w:szCs w:val="22"/>
        </w:rPr>
      </w:pPr>
      <w:r w:rsidRPr="0016233E">
        <w:rPr>
          <w:rFonts w:ascii="Segoe UI" w:hAnsi="Segoe UI" w:cs="Segoe UI"/>
          <w:sz w:val="22"/>
          <w:szCs w:val="22"/>
        </w:rPr>
        <w:lastRenderedPageBreak/>
        <w:t xml:space="preserve">4. </w:t>
      </w:r>
      <w:r w:rsidRPr="0016233E">
        <w:rPr>
          <w:rFonts w:ascii="Segoe UI" w:hAnsi="Segoe UI" w:cs="Segoe UI"/>
          <w:b/>
          <w:bCs/>
          <w:sz w:val="22"/>
          <w:szCs w:val="22"/>
        </w:rPr>
        <w:t>Mitigate relevant financial relationships</w:t>
      </w:r>
      <w:r w:rsidRPr="0016233E">
        <w:rPr>
          <w:rFonts w:ascii="Segoe UI" w:hAnsi="Segoe UI" w:cs="Segoe UI"/>
          <w:sz w:val="22"/>
          <w:szCs w:val="22"/>
        </w:rPr>
        <w:t xml:space="preserve">: Take steps to prevent all those with relevant financial relationships from inserting commercial bias into content. </w:t>
      </w:r>
    </w:p>
    <w:p w14:paraId="33F734B8" w14:textId="77777777" w:rsidR="00742BC3" w:rsidRPr="0016233E" w:rsidRDefault="00742BC3" w:rsidP="00742BC3">
      <w:pPr>
        <w:pStyle w:val="Default"/>
        <w:spacing w:before="100" w:after="200"/>
        <w:ind w:left="1440" w:hanging="360"/>
        <w:rPr>
          <w:rFonts w:ascii="Segoe UI" w:hAnsi="Segoe UI" w:cs="Segoe UI"/>
          <w:sz w:val="22"/>
          <w:szCs w:val="22"/>
        </w:rPr>
      </w:pPr>
      <w:r w:rsidRPr="0016233E">
        <w:rPr>
          <w:rFonts w:ascii="Segoe UI" w:hAnsi="Segoe UI" w:cs="Segoe UI"/>
          <w:sz w:val="22"/>
          <w:szCs w:val="22"/>
        </w:rPr>
        <w:t xml:space="preserve">a. Mitigate relationships prior to the individuals assuming their roles. Take steps appropriate to the role of the individual. For example, steps for planners will likely be different than for faculty and would occur before planning begins. </w:t>
      </w:r>
    </w:p>
    <w:p w14:paraId="2DAE3436" w14:textId="77777777" w:rsidR="00742BC3" w:rsidRPr="0016233E" w:rsidRDefault="00742BC3" w:rsidP="00742BC3">
      <w:pPr>
        <w:pStyle w:val="Default"/>
        <w:spacing w:before="100" w:after="200"/>
        <w:ind w:left="1440" w:hanging="360"/>
        <w:rPr>
          <w:rFonts w:ascii="Segoe UI" w:hAnsi="Segoe UI" w:cs="Segoe UI"/>
          <w:sz w:val="22"/>
          <w:szCs w:val="22"/>
        </w:rPr>
      </w:pPr>
      <w:r w:rsidRPr="0016233E">
        <w:rPr>
          <w:rFonts w:ascii="Segoe UI" w:hAnsi="Segoe UI" w:cs="Segoe UI"/>
          <w:sz w:val="22"/>
          <w:szCs w:val="22"/>
        </w:rPr>
        <w:t xml:space="preserve">b. Document the steps taken to mitigate relevant financial relationships. </w:t>
      </w:r>
    </w:p>
    <w:p w14:paraId="0F15CC65" w14:textId="77777777" w:rsidR="00742BC3" w:rsidRPr="0016233E" w:rsidRDefault="00742BC3" w:rsidP="00742BC3">
      <w:pPr>
        <w:pStyle w:val="Default"/>
        <w:ind w:left="1080" w:hanging="360"/>
        <w:rPr>
          <w:rFonts w:ascii="Segoe UI" w:hAnsi="Segoe UI" w:cs="Segoe UI"/>
          <w:sz w:val="22"/>
          <w:szCs w:val="22"/>
        </w:rPr>
      </w:pPr>
      <w:r w:rsidRPr="0016233E">
        <w:rPr>
          <w:rFonts w:ascii="Segoe UI" w:hAnsi="Segoe UI" w:cs="Segoe UI"/>
          <w:sz w:val="22"/>
          <w:szCs w:val="22"/>
        </w:rPr>
        <w:t xml:space="preserve">5. </w:t>
      </w:r>
      <w:r w:rsidRPr="0016233E">
        <w:rPr>
          <w:rFonts w:ascii="Segoe UI" w:hAnsi="Segoe UI" w:cs="Segoe UI"/>
          <w:b/>
          <w:bCs/>
          <w:sz w:val="22"/>
          <w:szCs w:val="22"/>
        </w:rPr>
        <w:t>Disclose all relevant financial relationships to learners</w:t>
      </w:r>
      <w:r w:rsidRPr="0016233E">
        <w:rPr>
          <w:rFonts w:ascii="Segoe UI" w:hAnsi="Segoe UI" w:cs="Segoe UI"/>
          <w:sz w:val="22"/>
          <w:szCs w:val="22"/>
        </w:rPr>
        <w:t xml:space="preserve">: Disclosure to learners must include each of the following: </w:t>
      </w:r>
    </w:p>
    <w:p w14:paraId="524EEAD3" w14:textId="77777777" w:rsidR="00742BC3" w:rsidRPr="0016233E" w:rsidRDefault="00742BC3" w:rsidP="00742BC3">
      <w:pPr>
        <w:pStyle w:val="Default"/>
        <w:ind w:left="1440" w:hanging="360"/>
        <w:rPr>
          <w:rFonts w:ascii="Segoe UI" w:hAnsi="Segoe UI" w:cs="Segoe UI"/>
          <w:sz w:val="22"/>
          <w:szCs w:val="22"/>
        </w:rPr>
      </w:pPr>
      <w:r w:rsidRPr="0016233E">
        <w:rPr>
          <w:rFonts w:ascii="Segoe UI" w:hAnsi="Segoe UI" w:cs="Segoe UI"/>
          <w:sz w:val="22"/>
          <w:szCs w:val="22"/>
        </w:rPr>
        <w:t xml:space="preserve">a. The names of the individuals with relevant financial relationships. </w:t>
      </w:r>
    </w:p>
    <w:p w14:paraId="389379F8" w14:textId="77777777" w:rsidR="00742BC3" w:rsidRPr="0016233E" w:rsidRDefault="00742BC3" w:rsidP="00742BC3">
      <w:pPr>
        <w:pStyle w:val="Default"/>
        <w:ind w:left="1440" w:hanging="360"/>
        <w:rPr>
          <w:rFonts w:ascii="Segoe UI" w:hAnsi="Segoe UI" w:cs="Segoe UI"/>
          <w:sz w:val="22"/>
          <w:szCs w:val="22"/>
        </w:rPr>
      </w:pPr>
      <w:r w:rsidRPr="0016233E">
        <w:rPr>
          <w:rFonts w:ascii="Segoe UI" w:hAnsi="Segoe UI" w:cs="Segoe UI"/>
          <w:sz w:val="22"/>
          <w:szCs w:val="22"/>
        </w:rPr>
        <w:t xml:space="preserve">b. The names of the ineligible companies with which they have relationships. </w:t>
      </w:r>
    </w:p>
    <w:p w14:paraId="0CBAE65B" w14:textId="77777777" w:rsidR="00742BC3" w:rsidRPr="0016233E" w:rsidRDefault="00742BC3" w:rsidP="00742BC3">
      <w:pPr>
        <w:pStyle w:val="Default"/>
        <w:ind w:left="1440" w:hanging="360"/>
        <w:rPr>
          <w:rFonts w:ascii="Segoe UI" w:hAnsi="Segoe UI" w:cs="Segoe UI"/>
          <w:sz w:val="22"/>
          <w:szCs w:val="22"/>
        </w:rPr>
      </w:pPr>
      <w:r w:rsidRPr="0016233E">
        <w:rPr>
          <w:rFonts w:ascii="Segoe UI" w:hAnsi="Segoe UI" w:cs="Segoe UI"/>
          <w:sz w:val="22"/>
          <w:szCs w:val="22"/>
        </w:rPr>
        <w:t xml:space="preserve">c. The nature of the relationships. </w:t>
      </w:r>
    </w:p>
    <w:p w14:paraId="7923DA91" w14:textId="77777777" w:rsidR="00742BC3" w:rsidRPr="0016233E" w:rsidRDefault="00742BC3" w:rsidP="00742BC3">
      <w:pPr>
        <w:pStyle w:val="Default"/>
        <w:ind w:left="1440" w:hanging="360"/>
        <w:rPr>
          <w:rFonts w:ascii="Segoe UI" w:hAnsi="Segoe UI" w:cs="Segoe UI"/>
          <w:sz w:val="22"/>
          <w:szCs w:val="22"/>
        </w:rPr>
      </w:pPr>
      <w:r w:rsidRPr="0016233E">
        <w:rPr>
          <w:rFonts w:ascii="Segoe UI" w:hAnsi="Segoe UI" w:cs="Segoe UI"/>
          <w:sz w:val="22"/>
          <w:szCs w:val="22"/>
        </w:rPr>
        <w:t xml:space="preserve">d. A statement that all relevant financial relationships have been mitigated. </w:t>
      </w:r>
    </w:p>
    <w:p w14:paraId="6F84DEA4" w14:textId="77777777" w:rsidR="00742BC3" w:rsidRPr="0016233E" w:rsidRDefault="00742BC3" w:rsidP="00742BC3">
      <w:pPr>
        <w:pStyle w:val="Default"/>
        <w:ind w:left="720"/>
        <w:rPr>
          <w:rFonts w:ascii="Segoe UI" w:hAnsi="Segoe UI" w:cs="Segoe UI"/>
          <w:sz w:val="22"/>
          <w:szCs w:val="22"/>
        </w:rPr>
      </w:pPr>
    </w:p>
    <w:p w14:paraId="575E1E0E" w14:textId="77777777" w:rsidR="00742BC3" w:rsidRPr="0016233E" w:rsidRDefault="00742BC3" w:rsidP="00742BC3">
      <w:pPr>
        <w:pStyle w:val="Default"/>
        <w:spacing w:before="60" w:after="60"/>
        <w:ind w:left="1080"/>
        <w:rPr>
          <w:rFonts w:ascii="Segoe UI" w:hAnsi="Segoe UI" w:cs="Segoe UI"/>
          <w:sz w:val="22"/>
          <w:szCs w:val="22"/>
        </w:rPr>
      </w:pPr>
      <w:r w:rsidRPr="0016233E">
        <w:rPr>
          <w:rFonts w:ascii="Segoe UI" w:hAnsi="Segoe UI" w:cs="Segoe UI"/>
          <w:b/>
          <w:bCs/>
          <w:sz w:val="22"/>
          <w:szCs w:val="22"/>
        </w:rPr>
        <w:t>Identify ineligible companies by their name only</w:t>
      </w:r>
      <w:r w:rsidRPr="0016233E">
        <w:rPr>
          <w:rFonts w:ascii="Segoe UI" w:hAnsi="Segoe UI" w:cs="Segoe UI"/>
          <w:sz w:val="22"/>
          <w:szCs w:val="22"/>
        </w:rPr>
        <w:t xml:space="preserve">. Disclosure to learners must not include ineligible companies’ corporate or product logos, trade names, or product group messages. </w:t>
      </w:r>
    </w:p>
    <w:p w14:paraId="50B3EF41" w14:textId="77777777" w:rsidR="00742BC3" w:rsidRPr="0016233E" w:rsidRDefault="00742BC3" w:rsidP="00742BC3">
      <w:pPr>
        <w:pStyle w:val="Default"/>
        <w:ind w:left="720"/>
        <w:rPr>
          <w:rFonts w:ascii="Segoe UI" w:hAnsi="Segoe UI" w:cs="Segoe UI"/>
          <w:b/>
          <w:bCs/>
          <w:sz w:val="22"/>
          <w:szCs w:val="22"/>
        </w:rPr>
      </w:pPr>
    </w:p>
    <w:p w14:paraId="21EE673C" w14:textId="77777777" w:rsidR="00742BC3" w:rsidRPr="0016233E" w:rsidRDefault="00742BC3" w:rsidP="00742BC3">
      <w:pPr>
        <w:pStyle w:val="Default"/>
        <w:ind w:left="1080"/>
        <w:rPr>
          <w:sz w:val="22"/>
          <w:szCs w:val="22"/>
        </w:rPr>
      </w:pPr>
      <w:r w:rsidRPr="0016233E">
        <w:rPr>
          <w:rFonts w:ascii="Segoe UI" w:hAnsi="Segoe UI" w:cs="Segoe UI"/>
          <w:b/>
          <w:bCs/>
          <w:sz w:val="22"/>
          <w:szCs w:val="22"/>
        </w:rPr>
        <w:t xml:space="preserve">Disclose absence of relevant financial relationships. </w:t>
      </w:r>
      <w:r w:rsidRPr="0016233E">
        <w:rPr>
          <w:rFonts w:ascii="Segoe UI" w:hAnsi="Segoe UI" w:cs="Segoe UI"/>
          <w:sz w:val="22"/>
          <w:szCs w:val="22"/>
        </w:rPr>
        <w:t>Inform learners about</w:t>
      </w:r>
      <w:r w:rsidRPr="0016233E">
        <w:rPr>
          <w:rFonts w:ascii="Segoe UI" w:hAnsi="Segoe UI" w:cs="Segoe UI"/>
          <w:sz w:val="22"/>
          <w:szCs w:val="22"/>
        </w:rPr>
        <w:tab/>
        <w:t xml:space="preserve"> planners, faculty, and others in control of content (either individually or as a group) with no relevant financial relationships with ineligible companies. </w:t>
      </w:r>
    </w:p>
    <w:p w14:paraId="2955FCA8" w14:textId="77777777" w:rsidR="00742BC3" w:rsidRPr="0016233E" w:rsidRDefault="00742BC3" w:rsidP="00742BC3">
      <w:pPr>
        <w:pStyle w:val="Default"/>
        <w:ind w:left="1080"/>
        <w:rPr>
          <w:rFonts w:ascii="Segoe UI" w:hAnsi="Segoe UI" w:cs="Segoe UI"/>
          <w:sz w:val="22"/>
          <w:szCs w:val="22"/>
        </w:rPr>
      </w:pPr>
      <w:r w:rsidRPr="0016233E">
        <w:rPr>
          <w:rFonts w:ascii="Segoe UI" w:hAnsi="Segoe UI" w:cs="Segoe UI"/>
          <w:b/>
          <w:bCs/>
          <w:sz w:val="22"/>
          <w:szCs w:val="22"/>
        </w:rPr>
        <w:t xml:space="preserve">Learners must receive disclosure information, in a format that can be verified at the time of accreditation, before engaging with the accredited education. </w:t>
      </w:r>
    </w:p>
    <w:p w14:paraId="48CA5565" w14:textId="77777777" w:rsidR="00370779" w:rsidRPr="0016233E" w:rsidRDefault="00370779" w:rsidP="00742BC3">
      <w:pPr>
        <w:pStyle w:val="Default"/>
        <w:spacing w:before="120"/>
        <w:ind w:left="720"/>
        <w:rPr>
          <w:rFonts w:ascii="Segoe UI" w:hAnsi="Segoe UI" w:cs="Segoe UI"/>
          <w:b/>
          <w:bCs/>
          <w:sz w:val="22"/>
          <w:szCs w:val="22"/>
        </w:rPr>
      </w:pPr>
    </w:p>
    <w:p w14:paraId="446166EF" w14:textId="5CAC22AF" w:rsidR="00742BC3" w:rsidRPr="0016233E" w:rsidRDefault="00742BC3" w:rsidP="008E0124">
      <w:pPr>
        <w:pStyle w:val="Default"/>
        <w:spacing w:before="120"/>
        <w:ind w:left="720"/>
        <w:rPr>
          <w:rFonts w:ascii="Segoe UI" w:hAnsi="Segoe UI" w:cs="Segoe UI"/>
          <w:sz w:val="22"/>
          <w:szCs w:val="22"/>
        </w:rPr>
      </w:pPr>
    </w:p>
    <w:p w14:paraId="1DECDD46" w14:textId="67B6A93A" w:rsidR="00742BC3" w:rsidRPr="0016233E" w:rsidRDefault="00742BC3" w:rsidP="00370779">
      <w:pPr>
        <w:ind w:left="720"/>
        <w:rPr>
          <w:rFonts w:ascii="Segoe UI" w:hAnsi="Segoe UI" w:cs="Segoe UI"/>
          <w:sz w:val="22"/>
          <w:szCs w:val="22"/>
        </w:rPr>
      </w:pPr>
      <w:r w:rsidRPr="0016233E">
        <w:rPr>
          <w:sz w:val="22"/>
          <w:szCs w:val="22"/>
        </w:rPr>
        <w:t>Standards for Integrity and Independence in Accredited Continuing Education © 2020 by the ACCME®</w:t>
      </w:r>
    </w:p>
    <w:p w14:paraId="4F92186D" w14:textId="1B419D0E" w:rsidR="00B1400D" w:rsidRPr="0016233E" w:rsidRDefault="00B1400D" w:rsidP="005B6E01">
      <w:pPr>
        <w:rPr>
          <w:rFonts w:ascii="Segoe UI" w:hAnsi="Segoe UI" w:cs="Segoe UI"/>
          <w:sz w:val="22"/>
          <w:szCs w:val="22"/>
        </w:rPr>
      </w:pPr>
    </w:p>
    <w:p w14:paraId="70A77E68" w14:textId="147E097D" w:rsidR="0066301E" w:rsidRPr="0016233E" w:rsidRDefault="0066301E" w:rsidP="0066301E">
      <w:pPr>
        <w:rPr>
          <w:rFonts w:ascii="Segoe UI" w:hAnsi="Segoe UI" w:cs="Segoe UI"/>
          <w:b/>
          <w:bCs/>
          <w:sz w:val="22"/>
          <w:szCs w:val="22"/>
        </w:rPr>
      </w:pPr>
      <w:r w:rsidRPr="0016233E">
        <w:rPr>
          <w:rFonts w:ascii="Segoe UI" w:hAnsi="Segoe UI" w:cs="Segoe UI"/>
          <w:b/>
          <w:bCs/>
          <w:sz w:val="22"/>
          <w:szCs w:val="22"/>
        </w:rPr>
        <w:t>Procedures to Comply with Standard 3</w:t>
      </w:r>
    </w:p>
    <w:p w14:paraId="7CEDB024" w14:textId="77777777" w:rsidR="0066301E" w:rsidRPr="0016233E" w:rsidRDefault="0066301E" w:rsidP="0066301E">
      <w:pPr>
        <w:rPr>
          <w:rFonts w:ascii="Segoe UI" w:hAnsi="Segoe UI" w:cs="Segoe UI"/>
          <w:sz w:val="22"/>
          <w:szCs w:val="22"/>
        </w:rPr>
      </w:pPr>
    </w:p>
    <w:p w14:paraId="458B5F78" w14:textId="77777777" w:rsidR="0066301E" w:rsidRPr="0016233E" w:rsidRDefault="0066301E" w:rsidP="0066301E">
      <w:pPr>
        <w:rPr>
          <w:rFonts w:ascii="Segoe UI" w:hAnsi="Segoe UI" w:cs="Segoe UI"/>
          <w:b/>
          <w:bCs/>
          <w:sz w:val="22"/>
          <w:szCs w:val="22"/>
        </w:rPr>
      </w:pPr>
      <w:r w:rsidRPr="0016233E">
        <w:rPr>
          <w:rFonts w:ascii="Segoe UI" w:hAnsi="Segoe UI" w:cs="Segoe UI"/>
          <w:b/>
          <w:bCs/>
          <w:sz w:val="22"/>
          <w:szCs w:val="22"/>
        </w:rPr>
        <w:t>Collecting COI Information</w:t>
      </w:r>
    </w:p>
    <w:p w14:paraId="0EDA6B51" w14:textId="77777777" w:rsidR="0066301E" w:rsidRPr="0016233E" w:rsidRDefault="0066301E" w:rsidP="0066301E">
      <w:pPr>
        <w:rPr>
          <w:rFonts w:ascii="Segoe UI" w:hAnsi="Segoe UI" w:cs="Segoe UI"/>
          <w:sz w:val="22"/>
          <w:szCs w:val="22"/>
        </w:rPr>
      </w:pPr>
    </w:p>
    <w:p w14:paraId="6C53CB67" w14:textId="13F2FD3D" w:rsidR="0066301E" w:rsidRPr="0016233E" w:rsidRDefault="0066301E" w:rsidP="0066301E">
      <w:pPr>
        <w:rPr>
          <w:rFonts w:ascii="Segoe UI" w:hAnsi="Segoe UI" w:cs="Segoe UI"/>
          <w:sz w:val="22"/>
          <w:szCs w:val="22"/>
        </w:rPr>
      </w:pPr>
      <w:r w:rsidRPr="0016233E">
        <w:rPr>
          <w:rFonts w:ascii="Segoe UI" w:hAnsi="Segoe UI" w:cs="Segoe UI"/>
          <w:sz w:val="22"/>
          <w:szCs w:val="22"/>
        </w:rPr>
        <w:t xml:space="preserve">UNC CPD </w:t>
      </w:r>
      <w:r w:rsidR="006C0E2D" w:rsidRPr="0016233E">
        <w:rPr>
          <w:rFonts w:ascii="Segoe UI" w:hAnsi="Segoe UI" w:cs="Segoe UI"/>
          <w:sz w:val="22"/>
          <w:szCs w:val="22"/>
        </w:rPr>
        <w:t xml:space="preserve">uses a COI Form to collect COI information </w:t>
      </w:r>
      <w:r w:rsidR="00007ADF" w:rsidRPr="0016233E">
        <w:rPr>
          <w:rFonts w:ascii="Segoe UI" w:hAnsi="Segoe UI" w:cs="Segoe UI"/>
          <w:sz w:val="22"/>
          <w:szCs w:val="22"/>
        </w:rPr>
        <w:t xml:space="preserve">and to inform planners and presenters of their </w:t>
      </w:r>
      <w:proofErr w:type="gramStart"/>
      <w:r w:rsidR="00007ADF" w:rsidRPr="0016233E">
        <w:rPr>
          <w:rFonts w:ascii="Segoe UI" w:hAnsi="Segoe UI" w:cs="Segoe UI"/>
          <w:sz w:val="22"/>
          <w:szCs w:val="22"/>
        </w:rPr>
        <w:t>responsibilities</w:t>
      </w:r>
      <w:proofErr w:type="gramEnd"/>
      <w:r w:rsidR="00007ADF" w:rsidRPr="0016233E">
        <w:rPr>
          <w:rFonts w:ascii="Segoe UI" w:hAnsi="Segoe UI" w:cs="Segoe UI"/>
          <w:sz w:val="22"/>
          <w:szCs w:val="22"/>
        </w:rPr>
        <w:t xml:space="preserve"> </w:t>
      </w:r>
      <w:r w:rsidR="00007ADF" w:rsidRPr="0016233E">
        <w:rPr>
          <w:rFonts w:ascii="Segoe UI" w:hAnsi="Segoe UI" w:cs="Segoe UI"/>
          <w:i/>
          <w:iCs/>
          <w:sz w:val="22"/>
          <w:szCs w:val="22"/>
        </w:rPr>
        <w:t>vis a vis</w:t>
      </w:r>
      <w:r w:rsidR="00007ADF" w:rsidRPr="0016233E">
        <w:rPr>
          <w:rFonts w:ascii="Segoe UI" w:hAnsi="Segoe UI" w:cs="Segoe UI"/>
          <w:sz w:val="22"/>
          <w:szCs w:val="22"/>
        </w:rPr>
        <w:t xml:space="preserve"> the Standards.</w:t>
      </w:r>
    </w:p>
    <w:p w14:paraId="65AF2B79" w14:textId="77777777" w:rsidR="0066301E" w:rsidRPr="0016233E" w:rsidRDefault="0066301E" w:rsidP="0066301E">
      <w:pPr>
        <w:rPr>
          <w:rFonts w:ascii="Segoe UI" w:hAnsi="Segoe UI" w:cs="Segoe UI"/>
          <w:sz w:val="22"/>
          <w:szCs w:val="22"/>
        </w:rPr>
      </w:pPr>
    </w:p>
    <w:p w14:paraId="0C23A0F2" w14:textId="6A143625" w:rsidR="0066301E" w:rsidRPr="0016233E" w:rsidRDefault="0066301E" w:rsidP="0066301E">
      <w:pPr>
        <w:rPr>
          <w:rFonts w:ascii="Segoe UI" w:hAnsi="Segoe UI" w:cs="Segoe UI"/>
          <w:sz w:val="22"/>
          <w:szCs w:val="22"/>
        </w:rPr>
      </w:pPr>
      <w:r w:rsidRPr="0016233E">
        <w:rPr>
          <w:rFonts w:ascii="Segoe UI" w:hAnsi="Segoe UI" w:cs="Segoe UI"/>
          <w:sz w:val="22"/>
          <w:szCs w:val="22"/>
        </w:rPr>
        <w:t xml:space="preserve">UNC CPD faculty and staff are required to complete a COI form annually and provide an updated form </w:t>
      </w:r>
      <w:r w:rsidR="002556B4" w:rsidRPr="0016233E">
        <w:rPr>
          <w:rFonts w:ascii="Segoe UI" w:hAnsi="Segoe UI" w:cs="Segoe UI"/>
          <w:sz w:val="22"/>
          <w:szCs w:val="22"/>
        </w:rPr>
        <w:t>should</w:t>
      </w:r>
      <w:r w:rsidRPr="0016233E">
        <w:rPr>
          <w:rFonts w:ascii="Segoe UI" w:hAnsi="Segoe UI" w:cs="Segoe UI"/>
          <w:sz w:val="22"/>
          <w:szCs w:val="22"/>
        </w:rPr>
        <w:t xml:space="preserve"> their financial relationships change in the interim.</w:t>
      </w:r>
    </w:p>
    <w:p w14:paraId="4DE20B2D" w14:textId="77777777" w:rsidR="0066301E" w:rsidRPr="0016233E" w:rsidRDefault="0066301E" w:rsidP="0066301E">
      <w:pPr>
        <w:rPr>
          <w:sz w:val="22"/>
          <w:szCs w:val="22"/>
        </w:rPr>
      </w:pPr>
    </w:p>
    <w:p w14:paraId="73D39E14" w14:textId="77777777" w:rsidR="0066301E" w:rsidRPr="0016233E" w:rsidRDefault="0066301E" w:rsidP="0066301E">
      <w:pPr>
        <w:rPr>
          <w:rFonts w:ascii="Segoe UI" w:hAnsi="Segoe UI" w:cs="Segoe UI"/>
          <w:sz w:val="22"/>
          <w:szCs w:val="22"/>
        </w:rPr>
      </w:pPr>
      <w:r w:rsidRPr="0016233E">
        <w:rPr>
          <w:rFonts w:ascii="Segoe UI" w:hAnsi="Segoe UI" w:cs="Segoe UI"/>
          <w:sz w:val="22"/>
          <w:szCs w:val="22"/>
        </w:rPr>
        <w:t>UNC CPD requires our educational partners to submit a COI Form for all planners and presenters.  Anyone who fails to submit a COI form cannot be involved in the activity.  The deadline for submission of the COI form depends on the person’s role in the activity:</w:t>
      </w:r>
    </w:p>
    <w:p w14:paraId="18645237" w14:textId="77777777" w:rsidR="0066301E" w:rsidRPr="0016233E" w:rsidRDefault="0066301E" w:rsidP="0066301E">
      <w:pPr>
        <w:rPr>
          <w:sz w:val="22"/>
          <w:szCs w:val="22"/>
        </w:rPr>
      </w:pPr>
    </w:p>
    <w:p w14:paraId="5BB2BFA7" w14:textId="345016BC" w:rsidR="0066301E" w:rsidRPr="0016233E" w:rsidRDefault="0066301E" w:rsidP="0052441F">
      <w:pPr>
        <w:pStyle w:val="ListParagraph"/>
        <w:numPr>
          <w:ilvl w:val="0"/>
          <w:numId w:val="1"/>
        </w:numPr>
      </w:pPr>
      <w:r w:rsidRPr="0016233E">
        <w:lastRenderedPageBreak/>
        <w:t>Course director COI forms must be submitted with the application form (for new activities) or prior to the start of the fiscal year (for recurring activities)</w:t>
      </w:r>
    </w:p>
    <w:p w14:paraId="736F41EE" w14:textId="77777777" w:rsidR="0066301E" w:rsidRPr="0016233E" w:rsidRDefault="0066301E" w:rsidP="0052441F">
      <w:pPr>
        <w:pStyle w:val="ListParagraph"/>
        <w:numPr>
          <w:ilvl w:val="0"/>
          <w:numId w:val="1"/>
        </w:numPr>
      </w:pPr>
      <w:r w:rsidRPr="0016233E">
        <w:t>Planner COI forms must be submitted prior to their involvement in the activity, typically at the same time the course director form is submitted.</w:t>
      </w:r>
    </w:p>
    <w:p w14:paraId="0E41469E" w14:textId="388D8B25" w:rsidR="0066301E" w:rsidRPr="0016233E" w:rsidRDefault="0066301E" w:rsidP="0052441F">
      <w:pPr>
        <w:pStyle w:val="ListParagraph"/>
        <w:numPr>
          <w:ilvl w:val="0"/>
          <w:numId w:val="1"/>
        </w:numPr>
      </w:pPr>
      <w:r w:rsidRPr="0016233E">
        <w:t>Presenter COI forms must be submitted prior to the publication of any promotional materials (other than a save the date notice).  For activities that do not have formal advertising, the COI form must be submitted prior to the activity.</w:t>
      </w:r>
    </w:p>
    <w:p w14:paraId="793ED850" w14:textId="77777777" w:rsidR="0066301E" w:rsidRPr="0016233E" w:rsidRDefault="0066301E" w:rsidP="0052441F">
      <w:pPr>
        <w:pStyle w:val="ListParagraph"/>
        <w:numPr>
          <w:ilvl w:val="0"/>
          <w:numId w:val="1"/>
        </w:numPr>
      </w:pPr>
      <w:r w:rsidRPr="0016233E">
        <w:t>For other content developers (such as authors of enduring materials), the COI form must be submitted prior to their involvement in the activity.</w:t>
      </w:r>
    </w:p>
    <w:p w14:paraId="3AC6B53A" w14:textId="19550BB0" w:rsidR="00177D68" w:rsidRPr="0016233E" w:rsidRDefault="0066301E" w:rsidP="000770AC">
      <w:pPr>
        <w:pStyle w:val="ListParagraph"/>
        <w:numPr>
          <w:ilvl w:val="0"/>
          <w:numId w:val="1"/>
        </w:numPr>
      </w:pPr>
      <w:r w:rsidRPr="0016233E">
        <w:t>For regularly scheduled series (RSS), planners and presenters only need to submit one COI form for a given fiscal year, unless their COI information changes, in which case it is their responsibility to provide an updated form.</w:t>
      </w:r>
    </w:p>
    <w:p w14:paraId="66A878F8" w14:textId="77777777" w:rsidR="0066301E" w:rsidRPr="0016233E" w:rsidRDefault="0066301E" w:rsidP="0066301E">
      <w:pPr>
        <w:rPr>
          <w:sz w:val="22"/>
          <w:szCs w:val="22"/>
        </w:rPr>
      </w:pPr>
    </w:p>
    <w:p w14:paraId="6835BF99" w14:textId="77777777" w:rsidR="0066301E" w:rsidRPr="0016233E" w:rsidRDefault="0066301E" w:rsidP="0066301E">
      <w:pPr>
        <w:rPr>
          <w:rFonts w:ascii="Segoe UI" w:hAnsi="Segoe UI" w:cs="Segoe UI"/>
          <w:b/>
          <w:bCs/>
          <w:sz w:val="22"/>
          <w:szCs w:val="22"/>
        </w:rPr>
      </w:pPr>
      <w:r w:rsidRPr="0016233E">
        <w:rPr>
          <w:rFonts w:ascii="Segoe UI" w:hAnsi="Segoe UI" w:cs="Segoe UI"/>
          <w:b/>
          <w:bCs/>
          <w:sz w:val="22"/>
          <w:szCs w:val="22"/>
        </w:rPr>
        <w:t>Excluding Owners and Employees of Ineligible Companies</w:t>
      </w:r>
    </w:p>
    <w:p w14:paraId="4949527B" w14:textId="77777777" w:rsidR="0066301E" w:rsidRPr="0016233E" w:rsidRDefault="0066301E" w:rsidP="0066301E">
      <w:pPr>
        <w:rPr>
          <w:rFonts w:ascii="Segoe UI" w:hAnsi="Segoe UI" w:cs="Segoe UI"/>
          <w:sz w:val="22"/>
          <w:szCs w:val="22"/>
        </w:rPr>
      </w:pPr>
    </w:p>
    <w:p w14:paraId="1CEE1FDD" w14:textId="77777777" w:rsidR="0066301E" w:rsidRPr="0016233E" w:rsidRDefault="0066301E" w:rsidP="0066301E">
      <w:pPr>
        <w:rPr>
          <w:rFonts w:ascii="Segoe UI" w:hAnsi="Segoe UI" w:cs="Segoe UI"/>
          <w:sz w:val="22"/>
          <w:szCs w:val="22"/>
        </w:rPr>
      </w:pPr>
      <w:r w:rsidRPr="0016233E">
        <w:rPr>
          <w:rFonts w:ascii="Segoe UI" w:hAnsi="Segoe UI" w:cs="Segoe UI"/>
          <w:sz w:val="22"/>
          <w:szCs w:val="22"/>
        </w:rPr>
        <w:t>UNC CPD will review COI information and determine whether the companies listed as eligible or ineligible.  Individuals who are owners or employees of ineligible companies may not be involved in planning or presenting at a UNC CPD activity, unless such involvement fits one of the three exceptions listed in Standard 3.  UNC CPD will make this determination.  Unauthorized involvement of an owner or employee of an ineligible company may result in the withdrawal of the CME designation.</w:t>
      </w:r>
    </w:p>
    <w:p w14:paraId="76491954" w14:textId="77777777" w:rsidR="0066301E" w:rsidRPr="0016233E" w:rsidRDefault="0066301E" w:rsidP="0066301E">
      <w:pPr>
        <w:rPr>
          <w:rFonts w:ascii="Segoe UI" w:hAnsi="Segoe UI" w:cs="Segoe UI"/>
          <w:sz w:val="22"/>
          <w:szCs w:val="22"/>
        </w:rPr>
      </w:pPr>
    </w:p>
    <w:p w14:paraId="6D5DA69F" w14:textId="77777777" w:rsidR="0066301E" w:rsidRPr="0016233E" w:rsidRDefault="0066301E" w:rsidP="0066301E">
      <w:pPr>
        <w:rPr>
          <w:rFonts w:ascii="Segoe UI" w:hAnsi="Segoe UI" w:cs="Segoe UI"/>
          <w:b/>
          <w:bCs/>
          <w:sz w:val="22"/>
          <w:szCs w:val="22"/>
        </w:rPr>
      </w:pPr>
      <w:r w:rsidRPr="0016233E">
        <w:rPr>
          <w:rFonts w:ascii="Segoe UI" w:hAnsi="Segoe UI" w:cs="Segoe UI"/>
          <w:b/>
          <w:bCs/>
          <w:sz w:val="22"/>
          <w:szCs w:val="22"/>
        </w:rPr>
        <w:t>Identifying Relevant Financial Relationships</w:t>
      </w:r>
    </w:p>
    <w:p w14:paraId="3CCE0C63" w14:textId="77777777" w:rsidR="0066301E" w:rsidRPr="0016233E" w:rsidRDefault="0066301E" w:rsidP="0066301E">
      <w:pPr>
        <w:rPr>
          <w:rFonts w:ascii="Segoe UI" w:hAnsi="Segoe UI" w:cs="Segoe UI"/>
          <w:sz w:val="22"/>
          <w:szCs w:val="22"/>
        </w:rPr>
      </w:pPr>
    </w:p>
    <w:p w14:paraId="47BDF7B9" w14:textId="77777777" w:rsidR="0066301E" w:rsidRPr="0016233E" w:rsidRDefault="0066301E" w:rsidP="0066301E">
      <w:pPr>
        <w:rPr>
          <w:rFonts w:ascii="Segoe UI" w:hAnsi="Segoe UI" w:cs="Segoe UI"/>
          <w:sz w:val="22"/>
          <w:szCs w:val="22"/>
        </w:rPr>
      </w:pPr>
      <w:r w:rsidRPr="0016233E">
        <w:rPr>
          <w:rFonts w:ascii="Segoe UI" w:hAnsi="Segoe UI" w:cs="Segoe UI"/>
          <w:sz w:val="22"/>
          <w:szCs w:val="22"/>
        </w:rPr>
        <w:t>The CME Coordinator will review all COI Forms upon receipt using the following process.  An individual’s COI Form must be approved by the CME Coordinator prior to their involvement in the activity.</w:t>
      </w:r>
    </w:p>
    <w:p w14:paraId="5DD5522A" w14:textId="77777777" w:rsidR="0066301E" w:rsidRPr="0016233E" w:rsidRDefault="0066301E" w:rsidP="0066301E">
      <w:pPr>
        <w:rPr>
          <w:rFonts w:ascii="Segoe UI" w:hAnsi="Segoe UI" w:cs="Segoe UI"/>
          <w:sz w:val="22"/>
          <w:szCs w:val="22"/>
        </w:rPr>
      </w:pPr>
    </w:p>
    <w:p w14:paraId="5BBE0CEB" w14:textId="77777777" w:rsidR="0066301E" w:rsidRPr="0016233E" w:rsidRDefault="0066301E" w:rsidP="0052441F">
      <w:pPr>
        <w:pStyle w:val="ListParagraph"/>
        <w:numPr>
          <w:ilvl w:val="0"/>
          <w:numId w:val="2"/>
        </w:numPr>
      </w:pPr>
      <w:r w:rsidRPr="0016233E">
        <w:t>COI Forms that indicate no financial relationships are automatically approved.</w:t>
      </w:r>
    </w:p>
    <w:p w14:paraId="25027049" w14:textId="77777777" w:rsidR="0066301E" w:rsidRPr="0016233E" w:rsidRDefault="0066301E" w:rsidP="0052441F">
      <w:pPr>
        <w:pStyle w:val="ListParagraph"/>
        <w:numPr>
          <w:ilvl w:val="0"/>
          <w:numId w:val="2"/>
        </w:numPr>
      </w:pPr>
      <w:r w:rsidRPr="0016233E">
        <w:t>If a COI Form indicates one or more financial relationships with ineligible companies, the CME Coordinator will determine whether any of the companies have products or services related to the content over which the individual has control.</w:t>
      </w:r>
    </w:p>
    <w:p w14:paraId="699A5CFC" w14:textId="4BB03646" w:rsidR="0066301E" w:rsidRPr="0016233E" w:rsidRDefault="0066301E" w:rsidP="0052441F">
      <w:pPr>
        <w:pStyle w:val="ListParagraph"/>
        <w:numPr>
          <w:ilvl w:val="0"/>
          <w:numId w:val="2"/>
        </w:numPr>
      </w:pPr>
      <w:r w:rsidRPr="0016233E">
        <w:t xml:space="preserve">If the content is unrelated to the business of the companies, the </w:t>
      </w:r>
      <w:r w:rsidR="00847C1A" w:rsidRPr="0016233E">
        <w:t xml:space="preserve">COI </w:t>
      </w:r>
      <w:r w:rsidRPr="0016233E">
        <w:t>form is approved.</w:t>
      </w:r>
    </w:p>
    <w:p w14:paraId="61EE1FCA" w14:textId="77777777" w:rsidR="0066301E" w:rsidRPr="0016233E" w:rsidRDefault="0066301E" w:rsidP="0052441F">
      <w:pPr>
        <w:pStyle w:val="ListParagraph"/>
        <w:numPr>
          <w:ilvl w:val="0"/>
          <w:numId w:val="2"/>
        </w:numPr>
      </w:pPr>
      <w:r w:rsidRPr="0016233E">
        <w:t>If the content is related, the CME Coordinator must take steps to mitigate the financial relationships.</w:t>
      </w:r>
    </w:p>
    <w:p w14:paraId="074665F9" w14:textId="77777777" w:rsidR="0066301E" w:rsidRPr="0016233E" w:rsidRDefault="0066301E" w:rsidP="0066301E">
      <w:pPr>
        <w:rPr>
          <w:rFonts w:ascii="Segoe UI" w:hAnsi="Segoe UI" w:cs="Segoe UI"/>
          <w:sz w:val="22"/>
          <w:szCs w:val="22"/>
        </w:rPr>
      </w:pPr>
    </w:p>
    <w:p w14:paraId="32C2AFEA" w14:textId="77777777" w:rsidR="0066301E" w:rsidRPr="0016233E" w:rsidRDefault="0066301E" w:rsidP="0066301E">
      <w:pPr>
        <w:rPr>
          <w:rFonts w:ascii="Segoe UI" w:hAnsi="Segoe UI" w:cs="Segoe UI"/>
          <w:b/>
          <w:bCs/>
          <w:sz w:val="22"/>
          <w:szCs w:val="22"/>
        </w:rPr>
      </w:pPr>
      <w:r w:rsidRPr="0016233E">
        <w:rPr>
          <w:rFonts w:ascii="Segoe UI" w:hAnsi="Segoe UI" w:cs="Segoe UI"/>
          <w:b/>
          <w:bCs/>
          <w:sz w:val="22"/>
          <w:szCs w:val="22"/>
        </w:rPr>
        <w:t>Mitigating Relevant Financial Relationships</w:t>
      </w:r>
    </w:p>
    <w:p w14:paraId="71E36F28" w14:textId="77777777" w:rsidR="0066301E" w:rsidRPr="0016233E" w:rsidRDefault="0066301E" w:rsidP="0066301E">
      <w:pPr>
        <w:rPr>
          <w:rFonts w:ascii="Segoe UI" w:hAnsi="Segoe UI" w:cs="Segoe UI"/>
          <w:sz w:val="22"/>
          <w:szCs w:val="22"/>
        </w:rPr>
      </w:pPr>
    </w:p>
    <w:p w14:paraId="3D2C58DA" w14:textId="77777777" w:rsidR="0066301E" w:rsidRPr="0016233E" w:rsidRDefault="0066301E" w:rsidP="0066301E">
      <w:pPr>
        <w:rPr>
          <w:rFonts w:ascii="Segoe UI" w:hAnsi="Segoe UI" w:cs="Segoe UI"/>
          <w:sz w:val="22"/>
          <w:szCs w:val="22"/>
        </w:rPr>
      </w:pPr>
      <w:r w:rsidRPr="0016233E">
        <w:rPr>
          <w:rFonts w:ascii="Segoe UI" w:hAnsi="Segoe UI" w:cs="Segoe UI"/>
          <w:sz w:val="22"/>
          <w:szCs w:val="22"/>
        </w:rPr>
        <w:t>The CME Coordinator will take the following actions to mitigate relevant financial relationships, according to the nature of the relationship:</w:t>
      </w:r>
    </w:p>
    <w:p w14:paraId="69597ED5" w14:textId="77777777" w:rsidR="0066301E" w:rsidRPr="0016233E" w:rsidRDefault="0066301E" w:rsidP="0066301E">
      <w:pPr>
        <w:rPr>
          <w:rFonts w:ascii="Segoe UI" w:hAnsi="Segoe UI" w:cs="Segoe UI"/>
          <w:sz w:val="22"/>
          <w:szCs w:val="22"/>
        </w:rPr>
      </w:pPr>
    </w:p>
    <w:p w14:paraId="7AFE4A69" w14:textId="626FEA78" w:rsidR="006770D1" w:rsidRPr="0016233E" w:rsidRDefault="006770D1" w:rsidP="0052441F">
      <w:pPr>
        <w:pStyle w:val="ListParagraph"/>
        <w:numPr>
          <w:ilvl w:val="0"/>
          <w:numId w:val="3"/>
        </w:numPr>
      </w:pPr>
      <w:r w:rsidRPr="0016233E">
        <w:lastRenderedPageBreak/>
        <w:t>If the relationship has ended</w:t>
      </w:r>
      <w:r w:rsidR="00F73C0F" w:rsidRPr="0016233E">
        <w:t xml:space="preserve">, </w:t>
      </w:r>
      <w:r w:rsidR="00E673C3" w:rsidRPr="0016233E">
        <w:t>the relationship is mitigated</w:t>
      </w:r>
      <w:r w:rsidR="00D80E4D" w:rsidRPr="0016233E">
        <w:t xml:space="preserve"> </w:t>
      </w:r>
      <w:r w:rsidR="00D744F2" w:rsidRPr="0016233E">
        <w:t>through</w:t>
      </w:r>
      <w:r w:rsidR="00D80E4D" w:rsidRPr="0016233E">
        <w:t xml:space="preserve"> divestment and no further action must be taken.  The relationship must still be disclosed to the audience.</w:t>
      </w:r>
    </w:p>
    <w:p w14:paraId="296390D7" w14:textId="41C9895D" w:rsidR="0066301E" w:rsidRPr="0016233E" w:rsidRDefault="0066301E" w:rsidP="0052441F">
      <w:pPr>
        <w:pStyle w:val="ListParagraph"/>
        <w:numPr>
          <w:ilvl w:val="0"/>
          <w:numId w:val="3"/>
        </w:numPr>
      </w:pPr>
      <w:r w:rsidRPr="0016233E">
        <w:t xml:space="preserve">If the individual is an owner or employee of the ineligible company, and their involvement falls under one of the exceptions listed above, the </w:t>
      </w:r>
      <w:r w:rsidR="00384CF0" w:rsidRPr="0016233E">
        <w:t xml:space="preserve">COI </w:t>
      </w:r>
      <w:r w:rsidRPr="0016233E">
        <w:t>Form will be approved.  If the involvement does not fall under one of the exceptions, the CME Coordinator will notify the educational partner that the individual cannot be involved in the educational activity.</w:t>
      </w:r>
    </w:p>
    <w:p w14:paraId="6BB84B50" w14:textId="77777777" w:rsidR="0066301E" w:rsidRPr="0016233E" w:rsidRDefault="0066301E" w:rsidP="0052441F">
      <w:pPr>
        <w:pStyle w:val="ListParagraph"/>
        <w:numPr>
          <w:ilvl w:val="0"/>
          <w:numId w:val="3"/>
        </w:numPr>
      </w:pPr>
      <w:r w:rsidRPr="0016233E">
        <w:t>For other financial relationships, the mitigation depends on the role of the individual:</w:t>
      </w:r>
    </w:p>
    <w:p w14:paraId="1DEF4037" w14:textId="544F4507" w:rsidR="006006F4" w:rsidRPr="0016233E" w:rsidRDefault="00951E68" w:rsidP="00480DC2">
      <w:pPr>
        <w:pStyle w:val="ListParagraph"/>
        <w:numPr>
          <w:ilvl w:val="0"/>
          <w:numId w:val="4"/>
        </w:numPr>
      </w:pPr>
      <w:r w:rsidRPr="0016233E">
        <w:t xml:space="preserve">For course directors, </w:t>
      </w:r>
      <w:r w:rsidR="0053761F" w:rsidRPr="0016233E">
        <w:t xml:space="preserve">UNC CPD </w:t>
      </w:r>
      <w:r w:rsidR="00C21690" w:rsidRPr="0016233E">
        <w:t>requires “</w:t>
      </w:r>
      <w:r w:rsidR="002D3238" w:rsidRPr="0016233E">
        <w:t>r</w:t>
      </w:r>
      <w:r w:rsidR="00C21690" w:rsidRPr="0016233E">
        <w:t xml:space="preserve">ecusal from controlling aspects of planning and content with which there is a financial relationship” (from </w:t>
      </w:r>
      <w:r w:rsidR="002D3238" w:rsidRPr="0016233E">
        <w:t>ACCME document 83_20201210_standards_for_integrity_and_independence_toolkit</w:t>
      </w:r>
      <w:r w:rsidR="00D70A02" w:rsidRPr="0016233E">
        <w:t>, page 5</w:t>
      </w:r>
      <w:r w:rsidR="002D3238" w:rsidRPr="0016233E">
        <w:t xml:space="preserve">). </w:t>
      </w:r>
      <w:r w:rsidR="006006F4" w:rsidRPr="0016233E">
        <w:t>Course directors are notified of this requirement through the responsibility summary and the COI form</w:t>
      </w:r>
      <w:r w:rsidR="003357DD" w:rsidRPr="0016233E">
        <w:t xml:space="preserve">.  Given the unique role of the course director, </w:t>
      </w:r>
      <w:r w:rsidR="001A1D1C" w:rsidRPr="0016233E">
        <w:t>if</w:t>
      </w:r>
      <w:r w:rsidR="00901781" w:rsidRPr="0016233E">
        <w:t xml:space="preserve"> a course director has relevant financial relationships, a co-course director with no financial relationships must be appointed to handle the planning for those areas that the original course director cannot control.</w:t>
      </w:r>
    </w:p>
    <w:p w14:paraId="452C4A12" w14:textId="39A8ACDC" w:rsidR="00384CF0" w:rsidRPr="0016233E" w:rsidRDefault="00A56B2C" w:rsidP="00901781">
      <w:pPr>
        <w:pStyle w:val="ListParagraph"/>
        <w:numPr>
          <w:ilvl w:val="0"/>
          <w:numId w:val="4"/>
        </w:numPr>
      </w:pPr>
      <w:r w:rsidRPr="0016233E">
        <w:t>Planners must recuse themselves from controlling aspects of planning and content with which they have a financial relationship.</w:t>
      </w:r>
      <w:r w:rsidR="00131A2A" w:rsidRPr="0016233E">
        <w:t xml:space="preserve">  Planners are notified of this requirement via the COI form.</w:t>
      </w:r>
      <w:r w:rsidR="005A2E99" w:rsidRPr="0016233E">
        <w:t xml:space="preserve"> The course director is primarily responsible for </w:t>
      </w:r>
      <w:r w:rsidR="006F05AB" w:rsidRPr="0016233E">
        <w:t>ensuring</w:t>
      </w:r>
      <w:r w:rsidR="005A2E99" w:rsidRPr="0016233E">
        <w:t xml:space="preserve"> that this occurs, subject to the oversight of UNC CPD staff</w:t>
      </w:r>
      <w:r w:rsidR="00A066AA" w:rsidRPr="0016233E">
        <w:t xml:space="preserve">. </w:t>
      </w:r>
    </w:p>
    <w:p w14:paraId="0BA42808" w14:textId="7C2660F5" w:rsidR="007B3D55" w:rsidRPr="0016233E" w:rsidRDefault="00F5042C" w:rsidP="007B3D55">
      <w:pPr>
        <w:pStyle w:val="ListParagraph"/>
        <w:numPr>
          <w:ilvl w:val="0"/>
          <w:numId w:val="4"/>
        </w:numPr>
      </w:pPr>
      <w:r w:rsidRPr="0016233E">
        <w:t>D</w:t>
      </w:r>
      <w:r w:rsidR="00036630" w:rsidRPr="0016233E">
        <w:t xml:space="preserve">iscussion leaders, </w:t>
      </w:r>
      <w:r w:rsidR="006801E2" w:rsidRPr="0016233E">
        <w:t xml:space="preserve">moderators, </w:t>
      </w:r>
      <w:r w:rsidR="00036630" w:rsidRPr="0016233E">
        <w:t>panelists, and other individuals who present material that is not prepared in advance</w:t>
      </w:r>
      <w:r w:rsidRPr="0016233E">
        <w:t xml:space="preserve"> must </w:t>
      </w:r>
      <w:r w:rsidR="00287301" w:rsidRPr="0016233E">
        <w:t xml:space="preserve">recuse themselves from discussing the products or services offered by the </w:t>
      </w:r>
      <w:r w:rsidR="00DE06A4" w:rsidRPr="0016233E">
        <w:t>ineligible</w:t>
      </w:r>
      <w:r w:rsidR="00287301" w:rsidRPr="0016233E">
        <w:t xml:space="preserve"> companies with which they have</w:t>
      </w:r>
      <w:r w:rsidR="001C52EF" w:rsidRPr="0016233E">
        <w:t xml:space="preserve"> a financial relationship</w:t>
      </w:r>
      <w:r w:rsidR="00DE06A4" w:rsidRPr="0016233E">
        <w:t>.</w:t>
      </w:r>
      <w:r w:rsidR="006801E2" w:rsidRPr="0016233E">
        <w:t xml:space="preserve"> </w:t>
      </w:r>
      <w:r w:rsidR="00103CF3" w:rsidRPr="0016233E">
        <w:t>They are notified and required to agree to this restriction on the COI form.</w:t>
      </w:r>
      <w:r w:rsidR="002E5577" w:rsidRPr="0016233E">
        <w:t xml:space="preserve">  It is the responsibility of the course director to ensure that </w:t>
      </w:r>
      <w:r w:rsidR="00013268" w:rsidRPr="0016233E">
        <w:t>this rule is followed.</w:t>
      </w:r>
    </w:p>
    <w:p w14:paraId="67B33DD6" w14:textId="6DA5BDC8" w:rsidR="00AD06E0" w:rsidRPr="0016233E" w:rsidRDefault="00304879" w:rsidP="00AD06E0">
      <w:pPr>
        <w:pStyle w:val="ListParagraph"/>
        <w:numPr>
          <w:ilvl w:val="0"/>
          <w:numId w:val="4"/>
        </w:numPr>
        <w:rPr>
          <w:color w:val="FF0000"/>
        </w:rPr>
      </w:pPr>
      <w:r w:rsidRPr="0016233E">
        <w:t>All other p</w:t>
      </w:r>
      <w:r w:rsidR="0066301E" w:rsidRPr="0016233E">
        <w:t>resenters must provide their content to UNC CPD for review at least two full business days before the activity (for live activities) or before publication (for enduring materials).  Failure to comply with this requirement will result in the loss of the CME designation.</w:t>
      </w:r>
    </w:p>
    <w:p w14:paraId="2BBB9818" w14:textId="4EABD24C" w:rsidR="0066301E" w:rsidRPr="0016233E" w:rsidRDefault="0066301E" w:rsidP="00AD06E0">
      <w:pPr>
        <w:pStyle w:val="ListParagraph"/>
        <w:numPr>
          <w:ilvl w:val="0"/>
          <w:numId w:val="5"/>
        </w:numPr>
        <w:rPr>
          <w:color w:val="FF0000"/>
        </w:rPr>
      </w:pPr>
      <w:r w:rsidRPr="0016233E">
        <w:t xml:space="preserve">The CME Coordinator will review the content to ensure that it is </w:t>
      </w:r>
      <w:r w:rsidR="00162897" w:rsidRPr="0016233E">
        <w:t xml:space="preserve">”evidence-based and free of commercial bias (e.g. peer-reviewed literature, adhering to </w:t>
      </w:r>
      <w:r w:rsidR="00C60A30" w:rsidRPr="0016233E">
        <w:t>evidence-based</w:t>
      </w:r>
      <w:r w:rsidR="00162897" w:rsidRPr="0016233E">
        <w:t xml:space="preserve"> practice guidelines).”  (ACCME document 83_20201210).</w:t>
      </w:r>
      <w:r w:rsidRPr="0016233E">
        <w:t xml:space="preserve">  Clinical recommendations must be based on scientific data, and alternatives should be included whenever possible.</w:t>
      </w:r>
    </w:p>
    <w:p w14:paraId="4261BD46" w14:textId="62ACB24F" w:rsidR="00E2256D" w:rsidRPr="0016233E" w:rsidRDefault="0066301E" w:rsidP="00E2256D">
      <w:pPr>
        <w:pStyle w:val="ListParagraph"/>
        <w:numPr>
          <w:ilvl w:val="0"/>
          <w:numId w:val="5"/>
        </w:numPr>
      </w:pPr>
      <w:r w:rsidRPr="0016233E">
        <w:t xml:space="preserve">If the CME Coordinator determines that the content </w:t>
      </w:r>
      <w:r w:rsidR="009571DB" w:rsidRPr="0016233E">
        <w:t>meets this requirement,</w:t>
      </w:r>
      <w:r w:rsidRPr="0016233E">
        <w:t xml:space="preserve"> the </w:t>
      </w:r>
      <w:r w:rsidR="009571DB" w:rsidRPr="0016233E">
        <w:t>content is approved.</w:t>
      </w:r>
    </w:p>
    <w:p w14:paraId="1AD56C4D" w14:textId="2980CE0B" w:rsidR="0066301E" w:rsidRPr="0016233E" w:rsidRDefault="0066301E" w:rsidP="00E2256D">
      <w:pPr>
        <w:pStyle w:val="ListParagraph"/>
        <w:numPr>
          <w:ilvl w:val="0"/>
          <w:numId w:val="5"/>
        </w:numPr>
      </w:pPr>
      <w:r w:rsidRPr="0016233E">
        <w:t xml:space="preserve">If the CME Coordinator determines that changes </w:t>
      </w:r>
      <w:r w:rsidR="00863A46" w:rsidRPr="0016233E">
        <w:t xml:space="preserve">must be made to bring the content into compliance with this requirement, the presenter must make the appropriate changes </w:t>
      </w:r>
      <w:r w:rsidRPr="0016233E">
        <w:t>and the updated material must be submitted for approval prior to the activity.</w:t>
      </w:r>
    </w:p>
    <w:p w14:paraId="08A88A3C" w14:textId="77777777" w:rsidR="0066301E" w:rsidRPr="0016233E" w:rsidRDefault="0066301E" w:rsidP="00AD06E0">
      <w:pPr>
        <w:pStyle w:val="ListParagraph"/>
        <w:numPr>
          <w:ilvl w:val="0"/>
          <w:numId w:val="5"/>
        </w:numPr>
      </w:pPr>
      <w:r w:rsidRPr="0016233E">
        <w:lastRenderedPageBreak/>
        <w:t>If the CME Coordinator determines that the content has an unresolvable bias or appearance of bias, the content will not be permitted at a CME designated activity.</w:t>
      </w:r>
    </w:p>
    <w:p w14:paraId="44CBE57B" w14:textId="64B23A07" w:rsidR="0066301E" w:rsidRPr="0016233E" w:rsidRDefault="0066301E" w:rsidP="00E2256D">
      <w:pPr>
        <w:pStyle w:val="ListParagraph"/>
        <w:numPr>
          <w:ilvl w:val="0"/>
          <w:numId w:val="4"/>
        </w:numPr>
      </w:pPr>
      <w:r w:rsidRPr="0016233E">
        <w:t xml:space="preserve">In difficult cases, the CME Coordinator will confer with the Director of CPD before </w:t>
      </w:r>
      <w:r w:rsidR="0058718B" w:rsidRPr="0016233E">
        <w:t xml:space="preserve">determining whether a </w:t>
      </w:r>
      <w:r w:rsidR="00D744F2" w:rsidRPr="0016233E">
        <w:t>relationship has been mitigated.</w:t>
      </w:r>
    </w:p>
    <w:p w14:paraId="5D2F76AD" w14:textId="77777777" w:rsidR="0066301E" w:rsidRPr="0016233E" w:rsidRDefault="0066301E" w:rsidP="0066301E">
      <w:pPr>
        <w:rPr>
          <w:rFonts w:ascii="Segoe UI" w:hAnsi="Segoe UI" w:cs="Segoe UI"/>
          <w:sz w:val="22"/>
          <w:szCs w:val="22"/>
        </w:rPr>
      </w:pPr>
    </w:p>
    <w:p w14:paraId="00E8A045" w14:textId="77777777" w:rsidR="0066301E" w:rsidRPr="0016233E" w:rsidRDefault="0066301E" w:rsidP="0066301E">
      <w:pPr>
        <w:rPr>
          <w:rFonts w:ascii="Segoe UI" w:hAnsi="Segoe UI" w:cs="Segoe UI"/>
          <w:b/>
          <w:bCs/>
          <w:sz w:val="22"/>
          <w:szCs w:val="22"/>
        </w:rPr>
      </w:pPr>
      <w:r w:rsidRPr="0016233E">
        <w:rPr>
          <w:rFonts w:ascii="Segoe UI" w:hAnsi="Segoe UI" w:cs="Segoe UI"/>
          <w:b/>
          <w:bCs/>
          <w:sz w:val="22"/>
          <w:szCs w:val="22"/>
        </w:rPr>
        <w:t>Disclosing Relevant Financial Relationships to Learners</w:t>
      </w:r>
    </w:p>
    <w:p w14:paraId="77592D3D" w14:textId="77777777" w:rsidR="0066301E" w:rsidRPr="0016233E" w:rsidRDefault="0066301E" w:rsidP="0066301E">
      <w:pPr>
        <w:rPr>
          <w:rFonts w:ascii="Segoe UI" w:hAnsi="Segoe UI" w:cs="Segoe UI"/>
          <w:b/>
          <w:bCs/>
          <w:sz w:val="22"/>
          <w:szCs w:val="22"/>
        </w:rPr>
      </w:pPr>
    </w:p>
    <w:p w14:paraId="33296384" w14:textId="2C1036B9" w:rsidR="0066301E" w:rsidRPr="0016233E" w:rsidRDefault="0066301E" w:rsidP="0066301E">
      <w:pPr>
        <w:pStyle w:val="NormalWeb"/>
        <w:shd w:val="clear" w:color="auto" w:fill="FFFFFF"/>
        <w:spacing w:before="120" w:beforeAutospacing="0" w:after="120" w:afterAutospacing="0"/>
        <w:rPr>
          <w:rFonts w:ascii="Segoe UI" w:hAnsi="Segoe UI" w:cs="Segoe UI"/>
          <w:color w:val="000000"/>
          <w:sz w:val="22"/>
          <w:szCs w:val="22"/>
        </w:rPr>
      </w:pPr>
      <w:r w:rsidRPr="0016233E">
        <w:rPr>
          <w:rFonts w:ascii="Segoe UI" w:hAnsi="Segoe UI" w:cs="Segoe UI"/>
          <w:color w:val="000000"/>
          <w:sz w:val="22"/>
          <w:szCs w:val="22"/>
        </w:rPr>
        <w:t>After all the COI Forms are approved, the CME Coordinator will provide a summary of the disclosure information to the educational partner which includes all the required information listed in Standard 3.5</w:t>
      </w:r>
      <w:r w:rsidR="00A51D8B" w:rsidRPr="0016233E">
        <w:rPr>
          <w:rFonts w:ascii="Segoe UI" w:hAnsi="Segoe UI" w:cs="Segoe UI"/>
          <w:color w:val="000000"/>
          <w:sz w:val="22"/>
          <w:szCs w:val="22"/>
        </w:rPr>
        <w:t>, including the fact that all financial relationships, if any, have been mitigated</w:t>
      </w:r>
      <w:r w:rsidR="006532F8">
        <w:rPr>
          <w:rFonts w:ascii="Segoe UI" w:hAnsi="Segoe UI" w:cs="Segoe UI"/>
          <w:color w:val="000000"/>
          <w:sz w:val="22"/>
          <w:szCs w:val="22"/>
        </w:rPr>
        <w:t>.</w:t>
      </w:r>
      <w:r w:rsidRPr="0016233E">
        <w:rPr>
          <w:rFonts w:ascii="Segoe UI" w:hAnsi="Segoe UI" w:cs="Segoe UI"/>
          <w:color w:val="000000"/>
          <w:sz w:val="22"/>
          <w:szCs w:val="22"/>
        </w:rPr>
        <w:t xml:space="preserve">  The educational partner will then provide this summary to the participants prior to their involvement in the activity.</w:t>
      </w:r>
    </w:p>
    <w:p w14:paraId="77D91DA6" w14:textId="41610E70" w:rsidR="002556B4" w:rsidRPr="0016233E" w:rsidRDefault="0066301E" w:rsidP="002556B4">
      <w:pPr>
        <w:pStyle w:val="NormalWeb"/>
        <w:shd w:val="clear" w:color="auto" w:fill="FFFFFF"/>
        <w:spacing w:before="120" w:beforeAutospacing="0" w:after="120" w:afterAutospacing="0"/>
        <w:rPr>
          <w:rFonts w:ascii="Segoe UI" w:hAnsi="Segoe UI" w:cs="Segoe UI"/>
          <w:color w:val="000000"/>
          <w:sz w:val="22"/>
          <w:szCs w:val="22"/>
        </w:rPr>
      </w:pPr>
      <w:r w:rsidRPr="0016233E">
        <w:rPr>
          <w:rFonts w:ascii="Segoe UI" w:hAnsi="Segoe UI" w:cs="Segoe UI"/>
          <w:color w:val="000000"/>
          <w:sz w:val="22"/>
          <w:szCs w:val="22"/>
        </w:rPr>
        <w:t>The educational partner must provide the summary in written format.  The course director and CME Coordinator will determine the exact format (slide, flyer, etc.) that is best for the given activity.  A copy will be kept on file.</w:t>
      </w:r>
    </w:p>
    <w:p w14:paraId="6E7E672B" w14:textId="7FC0D2A8" w:rsidR="00A27CE1" w:rsidRPr="0016233E" w:rsidRDefault="00A27CE1" w:rsidP="002556B4">
      <w:pPr>
        <w:pStyle w:val="NormalWeb"/>
        <w:shd w:val="clear" w:color="auto" w:fill="FFFFFF"/>
        <w:spacing w:before="120" w:beforeAutospacing="0" w:after="120" w:afterAutospacing="0"/>
        <w:rPr>
          <w:rFonts w:ascii="Segoe UI" w:hAnsi="Segoe UI" w:cs="Segoe UI"/>
          <w:b/>
          <w:bCs/>
          <w:color w:val="000000"/>
          <w:sz w:val="22"/>
          <w:szCs w:val="22"/>
        </w:rPr>
      </w:pPr>
      <w:r w:rsidRPr="0016233E">
        <w:rPr>
          <w:rFonts w:ascii="Segoe UI" w:hAnsi="Segoe UI" w:cs="Segoe UI"/>
          <w:b/>
          <w:bCs/>
          <w:color w:val="000000"/>
          <w:sz w:val="22"/>
          <w:szCs w:val="22"/>
        </w:rPr>
        <w:t>Exceptions</w:t>
      </w:r>
    </w:p>
    <w:p w14:paraId="5A370846" w14:textId="63DECF7C" w:rsidR="00A27CE1" w:rsidRPr="0016233E" w:rsidRDefault="00A27CE1" w:rsidP="002556B4">
      <w:pPr>
        <w:pStyle w:val="NormalWeb"/>
        <w:shd w:val="clear" w:color="auto" w:fill="FFFFFF"/>
        <w:spacing w:before="120" w:beforeAutospacing="0" w:after="120" w:afterAutospacing="0"/>
        <w:rPr>
          <w:rFonts w:ascii="Segoe UI" w:hAnsi="Segoe UI" w:cs="Segoe UI"/>
          <w:color w:val="000000"/>
          <w:sz w:val="22"/>
          <w:szCs w:val="22"/>
        </w:rPr>
      </w:pPr>
      <w:r w:rsidRPr="0016233E">
        <w:rPr>
          <w:rFonts w:ascii="Segoe UI" w:hAnsi="Segoe UI" w:cs="Segoe UI"/>
          <w:color w:val="000000"/>
          <w:sz w:val="22"/>
          <w:szCs w:val="22"/>
        </w:rPr>
        <w:t xml:space="preserve">The ACCME recognizes several exceptions to Standard 3.  </w:t>
      </w:r>
      <w:r w:rsidR="0058718B" w:rsidRPr="0016233E">
        <w:rPr>
          <w:rFonts w:ascii="Segoe UI" w:hAnsi="Segoe UI" w:cs="Segoe UI"/>
          <w:color w:val="000000"/>
          <w:sz w:val="22"/>
          <w:szCs w:val="22"/>
        </w:rPr>
        <w:t>To</w:t>
      </w:r>
      <w:r w:rsidRPr="0016233E">
        <w:rPr>
          <w:rFonts w:ascii="Segoe UI" w:hAnsi="Segoe UI" w:cs="Segoe UI"/>
          <w:color w:val="000000"/>
          <w:sz w:val="22"/>
          <w:szCs w:val="22"/>
        </w:rPr>
        <w:t xml:space="preserve"> avoid confusion that might lead to </w:t>
      </w:r>
      <w:r w:rsidR="003E0D06" w:rsidRPr="0016233E">
        <w:rPr>
          <w:rFonts w:ascii="Segoe UI" w:hAnsi="Segoe UI" w:cs="Segoe UI"/>
          <w:color w:val="000000"/>
          <w:sz w:val="22"/>
          <w:szCs w:val="22"/>
        </w:rPr>
        <w:t>compliance issues, and to standardize policies across activities, UNC CPD has chosen not to use any of these exceptions.</w:t>
      </w:r>
    </w:p>
    <w:p w14:paraId="662C340B" w14:textId="77777777" w:rsidR="00A27CE1" w:rsidRPr="0016233E" w:rsidRDefault="00A27CE1" w:rsidP="002556B4">
      <w:pPr>
        <w:pStyle w:val="NormalWeb"/>
        <w:shd w:val="clear" w:color="auto" w:fill="FFFFFF"/>
        <w:spacing w:before="120" w:beforeAutospacing="0" w:after="120" w:afterAutospacing="0"/>
        <w:rPr>
          <w:rFonts w:ascii="Segoe UI" w:hAnsi="Segoe UI" w:cs="Segoe UI"/>
          <w:color w:val="000000"/>
          <w:sz w:val="22"/>
          <w:szCs w:val="22"/>
        </w:rPr>
      </w:pPr>
    </w:p>
    <w:p w14:paraId="5BC89544" w14:textId="43220684" w:rsidR="002556B4" w:rsidRPr="0016233E" w:rsidRDefault="002556B4" w:rsidP="002556B4">
      <w:pPr>
        <w:pStyle w:val="NormalWeb"/>
        <w:shd w:val="clear" w:color="auto" w:fill="FFFFFF"/>
        <w:spacing w:before="120" w:beforeAutospacing="0" w:after="120" w:afterAutospacing="0"/>
        <w:rPr>
          <w:rFonts w:ascii="Segoe UI" w:hAnsi="Segoe UI" w:cs="Segoe UI"/>
          <w:b/>
          <w:bCs/>
          <w:color w:val="000000"/>
          <w:sz w:val="22"/>
          <w:szCs w:val="22"/>
        </w:rPr>
      </w:pPr>
      <w:r w:rsidRPr="0016233E">
        <w:rPr>
          <w:rFonts w:ascii="Segoe UI" w:hAnsi="Segoe UI" w:cs="Segoe UI"/>
          <w:b/>
          <w:bCs/>
          <w:color w:val="000000"/>
          <w:sz w:val="22"/>
          <w:szCs w:val="22"/>
        </w:rPr>
        <w:t>Standard 4: Manage Commercial Support Appropriately</w:t>
      </w:r>
    </w:p>
    <w:p w14:paraId="0B60D989" w14:textId="5CAD7A5A" w:rsidR="002556B4" w:rsidRPr="0016233E" w:rsidRDefault="00435CF7" w:rsidP="002556B4">
      <w:pPr>
        <w:pStyle w:val="NormalWeb"/>
        <w:shd w:val="clear" w:color="auto" w:fill="FFFFFF"/>
        <w:spacing w:before="120" w:beforeAutospacing="0" w:after="120" w:afterAutospacing="0"/>
        <w:rPr>
          <w:rFonts w:ascii="Segoe UI" w:hAnsi="Segoe UI" w:cs="Segoe UI"/>
          <w:color w:val="000000"/>
          <w:sz w:val="22"/>
          <w:szCs w:val="22"/>
        </w:rPr>
      </w:pPr>
      <w:r w:rsidRPr="0016233E">
        <w:rPr>
          <w:rFonts w:ascii="Segoe UI" w:hAnsi="Segoe UI" w:cs="Segoe UI"/>
          <w:color w:val="000000"/>
          <w:sz w:val="22"/>
          <w:szCs w:val="22"/>
        </w:rPr>
        <w:t>UNC CPD does not allow the use of commercial support (financial or in-kind support from ineligible companies) for any activities or by any educational partners.</w:t>
      </w:r>
    </w:p>
    <w:p w14:paraId="063BA94A" w14:textId="5E3F51E1" w:rsidR="00025DEB" w:rsidRPr="0016233E" w:rsidRDefault="00025DEB" w:rsidP="002556B4">
      <w:pPr>
        <w:pStyle w:val="NormalWeb"/>
        <w:shd w:val="clear" w:color="auto" w:fill="FFFFFF"/>
        <w:spacing w:before="120" w:beforeAutospacing="0" w:after="120" w:afterAutospacing="0"/>
        <w:rPr>
          <w:rFonts w:ascii="Segoe UI" w:hAnsi="Segoe UI" w:cs="Segoe UI"/>
          <w:color w:val="000000"/>
          <w:sz w:val="22"/>
          <w:szCs w:val="22"/>
        </w:rPr>
      </w:pPr>
      <w:r w:rsidRPr="0016233E">
        <w:rPr>
          <w:rFonts w:ascii="Segoe UI" w:hAnsi="Segoe UI" w:cs="Segoe UI"/>
          <w:color w:val="000000"/>
          <w:sz w:val="22"/>
          <w:szCs w:val="22"/>
        </w:rPr>
        <w:t xml:space="preserve">Furthermore, UNC CPD does not allow the use of any external, third-party funding, regardless of eligibility, </w:t>
      </w:r>
      <w:r w:rsidR="0058718B" w:rsidRPr="0016233E">
        <w:rPr>
          <w:rFonts w:ascii="Segoe UI" w:hAnsi="Segoe UI" w:cs="Segoe UI"/>
          <w:color w:val="000000"/>
          <w:sz w:val="22"/>
          <w:szCs w:val="22"/>
        </w:rPr>
        <w:t>except for</w:t>
      </w:r>
      <w:r w:rsidRPr="0016233E">
        <w:rPr>
          <w:rFonts w:ascii="Segoe UI" w:hAnsi="Segoe UI" w:cs="Segoe UI"/>
          <w:color w:val="000000"/>
          <w:sz w:val="22"/>
          <w:szCs w:val="22"/>
        </w:rPr>
        <w:t xml:space="preserve"> federal and state gran</w:t>
      </w:r>
      <w:r w:rsidR="007F5DD5" w:rsidRPr="0016233E">
        <w:rPr>
          <w:rFonts w:ascii="Segoe UI" w:hAnsi="Segoe UI" w:cs="Segoe UI"/>
          <w:color w:val="000000"/>
          <w:sz w:val="22"/>
          <w:szCs w:val="22"/>
        </w:rPr>
        <w:t>ts.</w:t>
      </w:r>
    </w:p>
    <w:p w14:paraId="3F32E8AB" w14:textId="1CB3F631" w:rsidR="00742BC3" w:rsidRPr="0016233E" w:rsidRDefault="00742BC3" w:rsidP="005B6E01">
      <w:pPr>
        <w:rPr>
          <w:rFonts w:ascii="Segoe UI" w:hAnsi="Segoe UI" w:cs="Segoe UI"/>
          <w:sz w:val="22"/>
          <w:szCs w:val="22"/>
        </w:rPr>
      </w:pPr>
    </w:p>
    <w:p w14:paraId="3EF88813" w14:textId="412314DA" w:rsidR="007F5DD5" w:rsidRPr="0016233E" w:rsidRDefault="007F5DD5" w:rsidP="005B6E01">
      <w:pPr>
        <w:rPr>
          <w:rFonts w:ascii="Segoe UI" w:hAnsi="Segoe UI" w:cs="Segoe UI"/>
          <w:b/>
          <w:bCs/>
          <w:sz w:val="22"/>
          <w:szCs w:val="22"/>
        </w:rPr>
      </w:pPr>
      <w:r w:rsidRPr="0016233E">
        <w:rPr>
          <w:rFonts w:ascii="Segoe UI" w:hAnsi="Segoe UI" w:cs="Segoe UI"/>
          <w:b/>
          <w:bCs/>
          <w:sz w:val="22"/>
          <w:szCs w:val="22"/>
        </w:rPr>
        <w:t>Standard 5: Manage Ancillary Activities Offered in Conjunction with Accredited Continuing Education</w:t>
      </w:r>
    </w:p>
    <w:p w14:paraId="53E4D1B7" w14:textId="6F99D6BB" w:rsidR="008E7E1F" w:rsidRPr="0016233E" w:rsidRDefault="008E7E1F" w:rsidP="005B6E01">
      <w:pPr>
        <w:rPr>
          <w:rFonts w:ascii="Segoe UI" w:hAnsi="Segoe UI" w:cs="Segoe UI"/>
          <w:sz w:val="22"/>
          <w:szCs w:val="22"/>
        </w:rPr>
      </w:pPr>
    </w:p>
    <w:p w14:paraId="7BCFAAE2" w14:textId="7F2A0254" w:rsidR="002556B4" w:rsidRPr="0016233E" w:rsidRDefault="00595387" w:rsidP="005B6E01">
      <w:pPr>
        <w:rPr>
          <w:rFonts w:ascii="Segoe UI" w:hAnsi="Segoe UI" w:cs="Segoe UI"/>
          <w:sz w:val="22"/>
          <w:szCs w:val="22"/>
        </w:rPr>
      </w:pPr>
      <w:r w:rsidRPr="0016233E">
        <w:rPr>
          <w:rFonts w:ascii="Segoe UI" w:hAnsi="Segoe UI" w:cs="Segoe UI"/>
          <w:sz w:val="22"/>
          <w:szCs w:val="22"/>
        </w:rPr>
        <w:t>Educational s</w:t>
      </w:r>
      <w:r w:rsidR="00171E5A" w:rsidRPr="0016233E">
        <w:rPr>
          <w:rFonts w:ascii="Segoe UI" w:hAnsi="Segoe UI" w:cs="Segoe UI"/>
          <w:sz w:val="22"/>
          <w:szCs w:val="22"/>
        </w:rPr>
        <w:t xml:space="preserve">essions that are part of an activity, but not accredited, must be clearly labeled and communicated as such. </w:t>
      </w:r>
      <w:r w:rsidRPr="0016233E">
        <w:rPr>
          <w:rFonts w:ascii="Segoe UI" w:hAnsi="Segoe UI" w:cs="Segoe UI"/>
          <w:sz w:val="22"/>
          <w:szCs w:val="22"/>
        </w:rPr>
        <w:t xml:space="preserve"> </w:t>
      </w:r>
      <w:r w:rsidR="0058718B" w:rsidRPr="0016233E">
        <w:rPr>
          <w:rFonts w:ascii="Segoe UI" w:hAnsi="Segoe UI" w:cs="Segoe UI"/>
          <w:sz w:val="22"/>
          <w:szCs w:val="22"/>
        </w:rPr>
        <w:t>If</w:t>
      </w:r>
      <w:r w:rsidR="006E7466" w:rsidRPr="0016233E">
        <w:rPr>
          <w:rFonts w:ascii="Segoe UI" w:hAnsi="Segoe UI" w:cs="Segoe UI"/>
          <w:sz w:val="22"/>
          <w:szCs w:val="22"/>
        </w:rPr>
        <w:t xml:space="preserve"> an e</w:t>
      </w:r>
      <w:r w:rsidRPr="0016233E">
        <w:rPr>
          <w:rFonts w:ascii="Segoe UI" w:hAnsi="Segoe UI" w:cs="Segoe UI"/>
          <w:sz w:val="22"/>
          <w:szCs w:val="22"/>
        </w:rPr>
        <w:t>ducational session</w:t>
      </w:r>
      <w:r w:rsidR="006E7466" w:rsidRPr="0016233E">
        <w:rPr>
          <w:rFonts w:ascii="Segoe UI" w:hAnsi="Segoe UI" w:cs="Segoe UI"/>
          <w:sz w:val="22"/>
          <w:szCs w:val="22"/>
        </w:rPr>
        <w:t xml:space="preserve"> does </w:t>
      </w:r>
      <w:r w:rsidR="00B61C38" w:rsidRPr="0016233E">
        <w:rPr>
          <w:rFonts w:ascii="Segoe UI" w:hAnsi="Segoe UI" w:cs="Segoe UI"/>
          <w:sz w:val="22"/>
          <w:szCs w:val="22"/>
        </w:rPr>
        <w:t>not carry credit because of failure to comply with one or more of these Standards</w:t>
      </w:r>
      <w:r w:rsidR="006E7466" w:rsidRPr="0016233E">
        <w:rPr>
          <w:rFonts w:ascii="Segoe UI" w:hAnsi="Segoe UI" w:cs="Segoe UI"/>
          <w:sz w:val="22"/>
          <w:szCs w:val="22"/>
        </w:rPr>
        <w:t>, th</w:t>
      </w:r>
      <w:r w:rsidR="00C425D3" w:rsidRPr="0016233E">
        <w:rPr>
          <w:rFonts w:ascii="Segoe UI" w:hAnsi="Segoe UI" w:cs="Segoe UI"/>
          <w:sz w:val="22"/>
          <w:szCs w:val="22"/>
        </w:rPr>
        <w:t>ere must be a break of at least 30 minutes between that session and any accredited sessions.</w:t>
      </w:r>
    </w:p>
    <w:p w14:paraId="746CB231" w14:textId="08FCEE27" w:rsidR="00C425D3" w:rsidRPr="0016233E" w:rsidRDefault="00C425D3" w:rsidP="005B6E01">
      <w:pPr>
        <w:rPr>
          <w:rFonts w:ascii="Segoe UI" w:hAnsi="Segoe UI" w:cs="Segoe UI"/>
          <w:sz w:val="22"/>
          <w:szCs w:val="22"/>
        </w:rPr>
      </w:pPr>
    </w:p>
    <w:p w14:paraId="6A490B62" w14:textId="1A7C09EF" w:rsidR="00C425D3" w:rsidRPr="0016233E" w:rsidRDefault="00C425D3" w:rsidP="005B6E01">
      <w:pPr>
        <w:rPr>
          <w:rFonts w:ascii="Segoe UI" w:hAnsi="Segoe UI" w:cs="Segoe UI"/>
          <w:sz w:val="22"/>
          <w:szCs w:val="22"/>
        </w:rPr>
      </w:pPr>
      <w:r w:rsidRPr="0016233E">
        <w:rPr>
          <w:rFonts w:ascii="Segoe UI" w:hAnsi="Segoe UI" w:cs="Segoe UI"/>
          <w:sz w:val="22"/>
          <w:szCs w:val="22"/>
        </w:rPr>
        <w:t xml:space="preserve">Marketing and exhibits are not permitted in the educational space, as noted under the </w:t>
      </w:r>
      <w:r w:rsidR="00080CB1" w:rsidRPr="0016233E">
        <w:rPr>
          <w:rFonts w:ascii="Segoe UI" w:hAnsi="Segoe UI" w:cs="Segoe UI"/>
          <w:sz w:val="22"/>
          <w:szCs w:val="22"/>
        </w:rPr>
        <w:t xml:space="preserve">following Exhibits section.  </w:t>
      </w:r>
    </w:p>
    <w:p w14:paraId="2395E088" w14:textId="47D3788E" w:rsidR="00080CB1" w:rsidRPr="0016233E" w:rsidRDefault="00080CB1" w:rsidP="005B6E01">
      <w:pPr>
        <w:rPr>
          <w:rFonts w:ascii="Segoe UI" w:hAnsi="Segoe UI" w:cs="Segoe UI"/>
          <w:sz w:val="22"/>
          <w:szCs w:val="22"/>
        </w:rPr>
      </w:pPr>
    </w:p>
    <w:p w14:paraId="16C4AD70" w14:textId="77B5FCDD" w:rsidR="00080CB1" w:rsidRPr="0016233E" w:rsidRDefault="00080CB1" w:rsidP="005B6E01">
      <w:pPr>
        <w:rPr>
          <w:rFonts w:ascii="Segoe UI" w:hAnsi="Segoe UI" w:cs="Segoe UI"/>
          <w:sz w:val="22"/>
          <w:szCs w:val="22"/>
        </w:rPr>
      </w:pPr>
      <w:r w:rsidRPr="0016233E">
        <w:rPr>
          <w:rFonts w:ascii="Segoe UI" w:hAnsi="Segoe UI" w:cs="Segoe UI"/>
          <w:sz w:val="22"/>
          <w:szCs w:val="22"/>
        </w:rPr>
        <w:lastRenderedPageBreak/>
        <w:t>Educational materials that are part of accredited education</w:t>
      </w:r>
      <w:r w:rsidR="00484C82" w:rsidRPr="0016233E">
        <w:rPr>
          <w:rFonts w:ascii="Segoe UI" w:hAnsi="Segoe UI" w:cs="Segoe UI"/>
          <w:sz w:val="22"/>
          <w:szCs w:val="22"/>
        </w:rPr>
        <w:t xml:space="preserve"> must not include any marketing for an ineligible company, including corporate or product logos, trade names, or product group messages.</w:t>
      </w:r>
    </w:p>
    <w:p w14:paraId="4A34BE04" w14:textId="77777777" w:rsidR="002556B4" w:rsidRPr="0016233E" w:rsidRDefault="002556B4" w:rsidP="005B6E01">
      <w:pPr>
        <w:rPr>
          <w:rFonts w:ascii="Segoe UI" w:hAnsi="Segoe UI" w:cs="Segoe UI"/>
          <w:sz w:val="22"/>
          <w:szCs w:val="22"/>
        </w:rPr>
      </w:pPr>
    </w:p>
    <w:p w14:paraId="2E7B4951" w14:textId="7F4EDF26" w:rsidR="008E7E1F" w:rsidRPr="0016233E" w:rsidRDefault="009D0155" w:rsidP="005B6E01">
      <w:pPr>
        <w:rPr>
          <w:rFonts w:ascii="Segoe UI" w:hAnsi="Segoe UI" w:cs="Segoe UI"/>
          <w:sz w:val="22"/>
          <w:szCs w:val="22"/>
        </w:rPr>
      </w:pPr>
      <w:r w:rsidRPr="0016233E">
        <w:rPr>
          <w:rFonts w:ascii="Segoe UI" w:hAnsi="Segoe UI" w:cs="Segoe UI"/>
          <w:sz w:val="22"/>
          <w:szCs w:val="22"/>
        </w:rPr>
        <w:t xml:space="preserve">For print and electronic enduring materials, </w:t>
      </w:r>
      <w:r w:rsidR="006D629B" w:rsidRPr="0016233E">
        <w:rPr>
          <w:rFonts w:ascii="Segoe UI" w:hAnsi="Segoe UI" w:cs="Segoe UI"/>
          <w:sz w:val="22"/>
          <w:szCs w:val="22"/>
        </w:rPr>
        <w:t xml:space="preserve">the actual content must not include any marketing, and participants must be able to access the content without viewing any product promotion.  </w:t>
      </w:r>
      <w:r w:rsidR="00802269" w:rsidRPr="0016233E">
        <w:rPr>
          <w:rFonts w:ascii="Segoe UI" w:hAnsi="Segoe UI" w:cs="Segoe UI"/>
          <w:sz w:val="22"/>
          <w:szCs w:val="22"/>
        </w:rPr>
        <w:t xml:space="preserve">For online activities, exhibitors may be acknowledged in text, but </w:t>
      </w:r>
      <w:r w:rsidR="00663E49" w:rsidRPr="0016233E">
        <w:rPr>
          <w:rFonts w:ascii="Segoe UI" w:hAnsi="Segoe UI" w:cs="Segoe UI"/>
          <w:sz w:val="22"/>
          <w:szCs w:val="22"/>
        </w:rPr>
        <w:t>no logos or product information are permitted.</w:t>
      </w:r>
      <w:r w:rsidR="00E1719F" w:rsidRPr="0016233E">
        <w:rPr>
          <w:rFonts w:ascii="Segoe UI" w:hAnsi="Segoe UI" w:cs="Segoe UI"/>
          <w:sz w:val="22"/>
          <w:szCs w:val="22"/>
        </w:rPr>
        <w:t xml:space="preserve">  </w:t>
      </w:r>
      <w:r w:rsidR="00B563D0" w:rsidRPr="0016233E">
        <w:rPr>
          <w:rFonts w:ascii="Segoe UI" w:hAnsi="Segoe UI" w:cs="Segoe UI"/>
          <w:sz w:val="22"/>
          <w:szCs w:val="22"/>
        </w:rPr>
        <w:t>CME activities are not permitted to link to websites run by ineligible companies.</w:t>
      </w:r>
    </w:p>
    <w:p w14:paraId="5DEABF80" w14:textId="77777777" w:rsidR="008E2D12" w:rsidRPr="0016233E" w:rsidRDefault="008E2D12" w:rsidP="005B6E01">
      <w:pPr>
        <w:rPr>
          <w:rFonts w:ascii="Segoe UI" w:hAnsi="Segoe UI" w:cs="Segoe UI"/>
          <w:sz w:val="22"/>
          <w:szCs w:val="22"/>
        </w:rPr>
      </w:pPr>
    </w:p>
    <w:p w14:paraId="48812943" w14:textId="2E420C56" w:rsidR="008E2D12" w:rsidRPr="0016233E" w:rsidRDefault="008E2D12" w:rsidP="005B6E01">
      <w:pPr>
        <w:rPr>
          <w:rFonts w:ascii="Segoe UI" w:hAnsi="Segoe UI" w:cs="Segoe UI"/>
          <w:sz w:val="22"/>
          <w:szCs w:val="22"/>
        </w:rPr>
      </w:pPr>
      <w:r w:rsidRPr="0016233E">
        <w:rPr>
          <w:rFonts w:ascii="Segoe UI" w:hAnsi="Segoe UI" w:cs="Segoe UI"/>
          <w:sz w:val="22"/>
          <w:szCs w:val="22"/>
        </w:rPr>
        <w:t>Ineligible companies may not provide access to or distribute accredited education to learners</w:t>
      </w:r>
      <w:r w:rsidR="003D4B0B" w:rsidRPr="0016233E">
        <w:rPr>
          <w:rFonts w:ascii="Segoe UI" w:hAnsi="Segoe UI" w:cs="Segoe UI"/>
          <w:sz w:val="22"/>
          <w:szCs w:val="22"/>
        </w:rPr>
        <w:t>.</w:t>
      </w:r>
    </w:p>
    <w:p w14:paraId="419E0BFD" w14:textId="673EC9DE" w:rsidR="00B563D0" w:rsidRPr="0016233E" w:rsidRDefault="00B563D0" w:rsidP="005B6E01">
      <w:pPr>
        <w:rPr>
          <w:rFonts w:ascii="Segoe UI" w:hAnsi="Segoe UI" w:cs="Segoe UI"/>
          <w:sz w:val="22"/>
          <w:szCs w:val="22"/>
        </w:rPr>
      </w:pPr>
    </w:p>
    <w:p w14:paraId="6ED32522" w14:textId="3242211A" w:rsidR="00B563D0" w:rsidRPr="0016233E" w:rsidRDefault="00771263" w:rsidP="005B6E01">
      <w:pPr>
        <w:rPr>
          <w:rFonts w:ascii="Segoe UI" w:hAnsi="Segoe UI" w:cs="Segoe UI"/>
          <w:sz w:val="22"/>
          <w:szCs w:val="22"/>
        </w:rPr>
      </w:pPr>
      <w:r w:rsidRPr="0016233E">
        <w:rPr>
          <w:rFonts w:ascii="Segoe UI" w:hAnsi="Segoe UI" w:cs="Segoe UI"/>
          <w:sz w:val="22"/>
          <w:szCs w:val="22"/>
        </w:rPr>
        <w:t>Course directors and other planners are reminded of these requirements in the CME application, the COI Form, and the</w:t>
      </w:r>
      <w:r w:rsidR="00F73D63" w:rsidRPr="0016233E">
        <w:rPr>
          <w:rFonts w:ascii="Segoe UI" w:hAnsi="Segoe UI" w:cs="Segoe UI"/>
          <w:sz w:val="22"/>
          <w:szCs w:val="22"/>
        </w:rPr>
        <w:t xml:space="preserve"> </w:t>
      </w:r>
      <w:r w:rsidR="00994C04" w:rsidRPr="0016233E">
        <w:rPr>
          <w:rFonts w:ascii="Segoe UI" w:hAnsi="Segoe UI" w:cs="Segoe UI"/>
          <w:sz w:val="22"/>
          <w:szCs w:val="22"/>
        </w:rPr>
        <w:t>CME Responsibility Summary (see Standard 1).</w:t>
      </w:r>
    </w:p>
    <w:p w14:paraId="7F04E7F2" w14:textId="7A4331D0" w:rsidR="00994C04" w:rsidRPr="0016233E" w:rsidRDefault="00994C04" w:rsidP="005B6E01">
      <w:pPr>
        <w:rPr>
          <w:rFonts w:ascii="Segoe UI" w:hAnsi="Segoe UI" w:cs="Segoe UI"/>
          <w:sz w:val="22"/>
          <w:szCs w:val="22"/>
        </w:rPr>
      </w:pPr>
    </w:p>
    <w:p w14:paraId="68016434" w14:textId="1891206A" w:rsidR="002A6917" w:rsidRPr="0016233E" w:rsidRDefault="00994C04" w:rsidP="003F53B7">
      <w:pPr>
        <w:rPr>
          <w:rFonts w:ascii="Segoe UI" w:hAnsi="Segoe UI" w:cs="Segoe UI"/>
          <w:sz w:val="22"/>
          <w:szCs w:val="22"/>
        </w:rPr>
      </w:pPr>
      <w:r w:rsidRPr="0016233E">
        <w:rPr>
          <w:rFonts w:ascii="Segoe UI" w:hAnsi="Segoe UI" w:cs="Segoe UI"/>
          <w:sz w:val="22"/>
          <w:szCs w:val="22"/>
        </w:rPr>
        <w:t>The CME Coordinator will review enduring materials for compliance.</w:t>
      </w:r>
    </w:p>
    <w:p w14:paraId="12953CA8" w14:textId="0244AAB6" w:rsidR="003F53B7" w:rsidRPr="0016233E" w:rsidRDefault="003F53B7" w:rsidP="003F53B7">
      <w:pPr>
        <w:rPr>
          <w:rFonts w:ascii="Segoe UI" w:hAnsi="Segoe UI" w:cs="Segoe UI"/>
          <w:sz w:val="22"/>
          <w:szCs w:val="22"/>
        </w:rPr>
      </w:pPr>
    </w:p>
    <w:p w14:paraId="1F55CC01" w14:textId="4242819D" w:rsidR="003F53B7" w:rsidRPr="0016233E" w:rsidRDefault="003F53B7" w:rsidP="003F53B7">
      <w:pPr>
        <w:rPr>
          <w:rFonts w:ascii="Segoe UI" w:hAnsi="Segoe UI" w:cs="Segoe UI"/>
          <w:b/>
          <w:bCs/>
          <w:sz w:val="22"/>
          <w:szCs w:val="22"/>
        </w:rPr>
      </w:pPr>
      <w:r w:rsidRPr="0016233E">
        <w:rPr>
          <w:rFonts w:ascii="Segoe UI" w:hAnsi="Segoe UI" w:cs="Segoe UI"/>
          <w:b/>
          <w:bCs/>
          <w:sz w:val="22"/>
          <w:szCs w:val="22"/>
        </w:rPr>
        <w:t>Section 5a: Exhibits</w:t>
      </w:r>
    </w:p>
    <w:p w14:paraId="186E0851" w14:textId="77777777" w:rsidR="002A6917" w:rsidRPr="0016233E" w:rsidRDefault="002A6917" w:rsidP="005B6E01">
      <w:pPr>
        <w:pStyle w:val="Default"/>
        <w:spacing w:line="198" w:lineRule="atLeast"/>
        <w:rPr>
          <w:rFonts w:ascii="Segoe UI" w:hAnsi="Segoe UI" w:cs="Segoe UI"/>
          <w:sz w:val="22"/>
          <w:szCs w:val="22"/>
        </w:rPr>
      </w:pPr>
    </w:p>
    <w:p w14:paraId="5041D4B4" w14:textId="26869F46" w:rsidR="00A80C05" w:rsidRDefault="00A80C05" w:rsidP="005B6E01">
      <w:pPr>
        <w:pStyle w:val="Default"/>
        <w:spacing w:line="198" w:lineRule="atLeast"/>
        <w:rPr>
          <w:rFonts w:ascii="Segoe UI" w:hAnsi="Segoe UI" w:cs="Segoe UI"/>
          <w:sz w:val="22"/>
          <w:szCs w:val="22"/>
        </w:rPr>
      </w:pPr>
      <w:r w:rsidRPr="0016233E">
        <w:rPr>
          <w:rFonts w:ascii="Segoe UI" w:hAnsi="Segoe UI" w:cs="Segoe UI"/>
          <w:sz w:val="22"/>
          <w:szCs w:val="22"/>
        </w:rPr>
        <w:t xml:space="preserve">For live activities, </w:t>
      </w:r>
      <w:r w:rsidR="005D5DF0" w:rsidRPr="0016233E">
        <w:rPr>
          <w:rFonts w:ascii="Segoe UI" w:hAnsi="Segoe UI" w:cs="Segoe UI"/>
          <w:sz w:val="22"/>
          <w:szCs w:val="22"/>
        </w:rPr>
        <w:t>UNC CPD</w:t>
      </w:r>
      <w:r w:rsidRPr="0016233E">
        <w:rPr>
          <w:rFonts w:ascii="Segoe UI" w:hAnsi="Segoe UI" w:cs="Segoe UI"/>
          <w:sz w:val="22"/>
          <w:szCs w:val="22"/>
        </w:rPr>
        <w:t xml:space="preserve"> may permit an activity to sell exhibit space in the facility where the activity is being held. </w:t>
      </w:r>
      <w:r w:rsidR="003F53B7" w:rsidRPr="0016233E">
        <w:rPr>
          <w:rFonts w:ascii="Segoe UI" w:hAnsi="Segoe UI" w:cs="Segoe UI"/>
          <w:sz w:val="22"/>
          <w:szCs w:val="22"/>
        </w:rPr>
        <w:t xml:space="preserve"> The following provisions apply to </w:t>
      </w:r>
      <w:r w:rsidR="005D465C" w:rsidRPr="0016233E">
        <w:rPr>
          <w:rFonts w:ascii="Segoe UI" w:hAnsi="Segoe UI" w:cs="Segoe UI"/>
          <w:sz w:val="22"/>
          <w:szCs w:val="22"/>
        </w:rPr>
        <w:t>any organizations that wish to exhibit, whether they are eligible or ineligible under the Standards.</w:t>
      </w:r>
    </w:p>
    <w:p w14:paraId="22A4AFE8" w14:textId="77777777" w:rsidR="009910E4" w:rsidRDefault="009910E4" w:rsidP="005B6E01">
      <w:pPr>
        <w:pStyle w:val="Default"/>
        <w:spacing w:line="198" w:lineRule="atLeast"/>
        <w:rPr>
          <w:rFonts w:ascii="Segoe UI" w:hAnsi="Segoe UI" w:cs="Segoe UI"/>
          <w:sz w:val="22"/>
          <w:szCs w:val="22"/>
        </w:rPr>
      </w:pPr>
    </w:p>
    <w:p w14:paraId="64107DED" w14:textId="3EF24221" w:rsidR="009910E4" w:rsidRDefault="009910E4" w:rsidP="005B6E01">
      <w:pPr>
        <w:pStyle w:val="Default"/>
        <w:spacing w:line="198" w:lineRule="atLeast"/>
        <w:rPr>
          <w:rFonts w:ascii="Segoe UI" w:hAnsi="Segoe UI" w:cs="Segoe UI"/>
          <w:sz w:val="22"/>
          <w:szCs w:val="22"/>
        </w:rPr>
      </w:pPr>
      <w:r>
        <w:rPr>
          <w:rFonts w:ascii="Segoe UI" w:hAnsi="Segoe UI" w:cs="Segoe UI"/>
          <w:sz w:val="22"/>
          <w:szCs w:val="22"/>
        </w:rPr>
        <w:t>UNC CPD does not permit “exhibits” at virtual activities.</w:t>
      </w:r>
    </w:p>
    <w:p w14:paraId="3CC8B0B0" w14:textId="77777777" w:rsidR="00A16647" w:rsidRDefault="00A16647" w:rsidP="005B6E01">
      <w:pPr>
        <w:pStyle w:val="Default"/>
        <w:spacing w:line="198" w:lineRule="atLeast"/>
        <w:rPr>
          <w:rFonts w:ascii="Segoe UI" w:hAnsi="Segoe UI" w:cs="Segoe UI"/>
          <w:sz w:val="22"/>
          <w:szCs w:val="22"/>
        </w:rPr>
      </w:pPr>
    </w:p>
    <w:p w14:paraId="539A97FE" w14:textId="54DAA5A3" w:rsidR="00A16647" w:rsidRDefault="00A16647" w:rsidP="009910E4">
      <w:pPr>
        <w:tabs>
          <w:tab w:val="left" w:pos="0"/>
        </w:tabs>
        <w:rPr>
          <w:rFonts w:ascii="Segoe UI" w:hAnsi="Segoe UI" w:cs="Segoe UI"/>
          <w:sz w:val="22"/>
          <w:szCs w:val="22"/>
        </w:rPr>
      </w:pPr>
      <w:r w:rsidRPr="0016233E">
        <w:rPr>
          <w:rFonts w:ascii="Segoe UI" w:hAnsi="Segoe UI" w:cs="Segoe UI"/>
          <w:sz w:val="22"/>
          <w:szCs w:val="22"/>
        </w:rPr>
        <w:t>UNC CPD does not permit exhibits at regularly scheduled series (such as grand rounds and case conferences)</w:t>
      </w:r>
      <w:r>
        <w:rPr>
          <w:rFonts w:ascii="Segoe UI" w:hAnsi="Segoe UI" w:cs="Segoe UI"/>
          <w:sz w:val="22"/>
          <w:szCs w:val="22"/>
        </w:rPr>
        <w:t xml:space="preserve"> whether in person or virtual.</w:t>
      </w:r>
    </w:p>
    <w:p w14:paraId="0889EFF6" w14:textId="77777777" w:rsidR="008E2E0F" w:rsidRPr="0016233E" w:rsidRDefault="008E2E0F" w:rsidP="005B6E01">
      <w:pPr>
        <w:pStyle w:val="Default"/>
        <w:spacing w:line="198" w:lineRule="atLeast"/>
        <w:rPr>
          <w:rFonts w:ascii="Segoe UI" w:hAnsi="Segoe UI" w:cs="Segoe UI"/>
          <w:b/>
          <w:sz w:val="22"/>
          <w:szCs w:val="22"/>
        </w:rPr>
      </w:pPr>
    </w:p>
    <w:p w14:paraId="2DE6B369" w14:textId="3CF58257" w:rsidR="002A6917" w:rsidRPr="0016233E" w:rsidRDefault="002A6917" w:rsidP="008A28FD">
      <w:pPr>
        <w:tabs>
          <w:tab w:val="left" w:pos="0"/>
        </w:tabs>
        <w:rPr>
          <w:rFonts w:ascii="Segoe UI" w:hAnsi="Segoe UI" w:cs="Segoe UI"/>
          <w:sz w:val="22"/>
          <w:szCs w:val="22"/>
        </w:rPr>
      </w:pPr>
      <w:r w:rsidRPr="0016233E">
        <w:rPr>
          <w:rFonts w:ascii="Segoe UI" w:hAnsi="Segoe UI" w:cs="Segoe UI"/>
          <w:sz w:val="22"/>
          <w:szCs w:val="22"/>
        </w:rPr>
        <w:t>Exhibits must be located in a space outside of and distinct from the educational</w:t>
      </w:r>
      <w:r w:rsidR="004E15D3" w:rsidRPr="0016233E">
        <w:rPr>
          <w:rFonts w:ascii="Segoe UI" w:hAnsi="Segoe UI" w:cs="Segoe UI"/>
          <w:sz w:val="22"/>
          <w:szCs w:val="22"/>
        </w:rPr>
        <w:t xml:space="preserve"> </w:t>
      </w:r>
      <w:r w:rsidRPr="0016233E">
        <w:rPr>
          <w:rFonts w:ascii="Segoe UI" w:hAnsi="Segoe UI" w:cs="Segoe UI"/>
          <w:sz w:val="22"/>
          <w:szCs w:val="22"/>
        </w:rPr>
        <w:t>space.  Exhibits</w:t>
      </w:r>
      <w:r w:rsidR="008A28FD" w:rsidRPr="0016233E">
        <w:rPr>
          <w:rFonts w:ascii="Segoe UI" w:hAnsi="Segoe UI" w:cs="Segoe UI"/>
          <w:sz w:val="22"/>
          <w:szCs w:val="22"/>
        </w:rPr>
        <w:t xml:space="preserve"> </w:t>
      </w:r>
      <w:r w:rsidRPr="0016233E">
        <w:rPr>
          <w:rFonts w:ascii="Segoe UI" w:hAnsi="Segoe UI" w:cs="Segoe UI"/>
          <w:sz w:val="22"/>
          <w:szCs w:val="22"/>
        </w:rPr>
        <w:t>cannot be located in an obligate pathway to the</w:t>
      </w:r>
      <w:r w:rsidR="001226E5" w:rsidRPr="0016233E">
        <w:rPr>
          <w:rFonts w:ascii="Segoe UI" w:hAnsi="Segoe UI" w:cs="Segoe UI"/>
          <w:sz w:val="22"/>
          <w:szCs w:val="22"/>
        </w:rPr>
        <w:t xml:space="preserve"> </w:t>
      </w:r>
      <w:r w:rsidRPr="0016233E">
        <w:rPr>
          <w:rFonts w:ascii="Segoe UI" w:hAnsi="Segoe UI" w:cs="Segoe UI"/>
          <w:sz w:val="22"/>
          <w:szCs w:val="22"/>
        </w:rPr>
        <w:t>educational space.</w:t>
      </w:r>
    </w:p>
    <w:p w14:paraId="067D95B8" w14:textId="77777777" w:rsidR="00B944B1" w:rsidRPr="0016233E" w:rsidRDefault="00B944B1" w:rsidP="005B6E01">
      <w:pPr>
        <w:tabs>
          <w:tab w:val="left" w:pos="540"/>
        </w:tabs>
        <w:rPr>
          <w:rFonts w:ascii="Segoe UI" w:hAnsi="Segoe UI" w:cs="Segoe UI"/>
          <w:sz w:val="22"/>
          <w:szCs w:val="22"/>
        </w:rPr>
      </w:pPr>
    </w:p>
    <w:p w14:paraId="0D0FC8DB" w14:textId="46243D0D" w:rsidR="002A6917" w:rsidRPr="0016233E" w:rsidRDefault="00A16647" w:rsidP="009C6585">
      <w:pPr>
        <w:tabs>
          <w:tab w:val="left" w:pos="0"/>
        </w:tabs>
        <w:rPr>
          <w:rFonts w:ascii="Segoe UI" w:hAnsi="Segoe UI" w:cs="Segoe UI"/>
          <w:sz w:val="22"/>
          <w:szCs w:val="22"/>
        </w:rPr>
      </w:pPr>
      <w:r>
        <w:rPr>
          <w:rFonts w:ascii="Segoe UI" w:hAnsi="Segoe UI" w:cs="Segoe UI"/>
          <w:sz w:val="22"/>
          <w:szCs w:val="22"/>
        </w:rPr>
        <w:t>The educational partner must provide a floor</w:t>
      </w:r>
      <w:r w:rsidR="00345261">
        <w:rPr>
          <w:rFonts w:ascii="Segoe UI" w:hAnsi="Segoe UI" w:cs="Segoe UI"/>
          <w:sz w:val="22"/>
          <w:szCs w:val="22"/>
        </w:rPr>
        <w:t xml:space="preserve"> </w:t>
      </w:r>
      <w:r>
        <w:rPr>
          <w:rFonts w:ascii="Segoe UI" w:hAnsi="Segoe UI" w:cs="Segoe UI"/>
          <w:sz w:val="22"/>
          <w:szCs w:val="22"/>
        </w:rPr>
        <w:t>pla</w:t>
      </w:r>
      <w:r w:rsidR="00A147E0">
        <w:rPr>
          <w:rFonts w:ascii="Segoe UI" w:hAnsi="Segoe UI" w:cs="Segoe UI"/>
          <w:sz w:val="22"/>
          <w:szCs w:val="22"/>
        </w:rPr>
        <w:t>n of the activity showing the location of</w:t>
      </w:r>
      <w:r w:rsidR="00762874">
        <w:rPr>
          <w:rFonts w:ascii="Segoe UI" w:hAnsi="Segoe UI" w:cs="Segoe UI"/>
          <w:sz w:val="22"/>
          <w:szCs w:val="22"/>
        </w:rPr>
        <w:t xml:space="preserve"> both</w:t>
      </w:r>
      <w:r w:rsidR="00A147E0">
        <w:rPr>
          <w:rFonts w:ascii="Segoe UI" w:hAnsi="Segoe UI" w:cs="Segoe UI"/>
          <w:sz w:val="22"/>
          <w:szCs w:val="22"/>
        </w:rPr>
        <w:t xml:space="preserve"> the educational area</w:t>
      </w:r>
      <w:r w:rsidR="00345261">
        <w:rPr>
          <w:rFonts w:ascii="Segoe UI" w:hAnsi="Segoe UI" w:cs="Segoe UI"/>
          <w:sz w:val="22"/>
          <w:szCs w:val="22"/>
        </w:rPr>
        <w:t>(s)</w:t>
      </w:r>
      <w:r w:rsidR="00A147E0">
        <w:rPr>
          <w:rFonts w:ascii="Segoe UI" w:hAnsi="Segoe UI" w:cs="Segoe UI"/>
          <w:sz w:val="22"/>
          <w:szCs w:val="22"/>
        </w:rPr>
        <w:t xml:space="preserve"> and the exhibit area</w:t>
      </w:r>
      <w:r w:rsidR="00345261">
        <w:rPr>
          <w:rFonts w:ascii="Segoe UI" w:hAnsi="Segoe UI" w:cs="Segoe UI"/>
          <w:sz w:val="22"/>
          <w:szCs w:val="22"/>
        </w:rPr>
        <w:t>(s)</w:t>
      </w:r>
      <w:r w:rsidR="00A147E0">
        <w:rPr>
          <w:rFonts w:ascii="Segoe UI" w:hAnsi="Segoe UI" w:cs="Segoe UI"/>
          <w:sz w:val="22"/>
          <w:szCs w:val="22"/>
        </w:rPr>
        <w:t>.</w:t>
      </w:r>
      <w:r w:rsidR="00361D46">
        <w:rPr>
          <w:rFonts w:ascii="Segoe UI" w:hAnsi="Segoe UI" w:cs="Segoe UI"/>
          <w:sz w:val="22"/>
          <w:szCs w:val="22"/>
        </w:rPr>
        <w:t xml:space="preserve">  UNC CPD must approve</w:t>
      </w:r>
      <w:r w:rsidR="00DF55A9">
        <w:rPr>
          <w:rFonts w:ascii="Segoe UI" w:hAnsi="Segoe UI" w:cs="Segoe UI"/>
          <w:sz w:val="22"/>
          <w:szCs w:val="22"/>
        </w:rPr>
        <w:t xml:space="preserve"> the arrangement.</w:t>
      </w:r>
    </w:p>
    <w:p w14:paraId="07F9B7C4" w14:textId="77777777" w:rsidR="002A6917" w:rsidRPr="0016233E" w:rsidRDefault="002A6917" w:rsidP="005B6E01">
      <w:pPr>
        <w:tabs>
          <w:tab w:val="left" w:pos="360"/>
        </w:tabs>
        <w:rPr>
          <w:rFonts w:ascii="Segoe UI" w:hAnsi="Segoe UI" w:cs="Segoe UI"/>
          <w:sz w:val="22"/>
          <w:szCs w:val="22"/>
        </w:rPr>
      </w:pPr>
    </w:p>
    <w:p w14:paraId="120B9CBE" w14:textId="38FA58F6" w:rsidR="002A6917" w:rsidRPr="0016233E" w:rsidRDefault="007C52D0" w:rsidP="009C6585">
      <w:pPr>
        <w:tabs>
          <w:tab w:val="left" w:pos="0"/>
        </w:tabs>
        <w:rPr>
          <w:rFonts w:ascii="Segoe UI" w:hAnsi="Segoe UI" w:cs="Segoe UI"/>
          <w:sz w:val="22"/>
          <w:szCs w:val="22"/>
        </w:rPr>
      </w:pPr>
      <w:r w:rsidRPr="0016233E">
        <w:rPr>
          <w:rFonts w:ascii="Segoe UI" w:hAnsi="Segoe UI" w:cs="Segoe UI"/>
          <w:sz w:val="22"/>
          <w:szCs w:val="22"/>
        </w:rPr>
        <w:t>Exhibit fees are</w:t>
      </w:r>
      <w:r w:rsidR="002A6917" w:rsidRPr="0016233E">
        <w:rPr>
          <w:rFonts w:ascii="Segoe UI" w:hAnsi="Segoe UI" w:cs="Segoe UI"/>
          <w:sz w:val="22"/>
          <w:szCs w:val="22"/>
        </w:rPr>
        <w:t xml:space="preserve"> set by the educational par</w:t>
      </w:r>
      <w:r w:rsidRPr="0016233E">
        <w:rPr>
          <w:rFonts w:ascii="Segoe UI" w:hAnsi="Segoe UI" w:cs="Segoe UI"/>
          <w:sz w:val="22"/>
          <w:szCs w:val="22"/>
        </w:rPr>
        <w:t xml:space="preserve">tner, that is, the department, </w:t>
      </w:r>
      <w:r w:rsidR="002A6917" w:rsidRPr="0016233E">
        <w:rPr>
          <w:rFonts w:ascii="Segoe UI" w:hAnsi="Segoe UI" w:cs="Segoe UI"/>
          <w:sz w:val="22"/>
          <w:szCs w:val="22"/>
        </w:rPr>
        <w:t xml:space="preserve">office, or joint sponsor that is undertaking the educational planning.  The schedule of exhibit fees must be submitted in writing to </w:t>
      </w:r>
      <w:r w:rsidR="005D5DF0" w:rsidRPr="0016233E">
        <w:rPr>
          <w:rFonts w:ascii="Segoe UI" w:hAnsi="Segoe UI" w:cs="Segoe UI"/>
          <w:sz w:val="22"/>
          <w:szCs w:val="22"/>
        </w:rPr>
        <w:t>UNC CPD</w:t>
      </w:r>
      <w:r w:rsidR="009C6585" w:rsidRPr="0016233E">
        <w:rPr>
          <w:rFonts w:ascii="Segoe UI" w:hAnsi="Segoe UI" w:cs="Segoe UI"/>
          <w:sz w:val="22"/>
          <w:szCs w:val="22"/>
        </w:rPr>
        <w:t xml:space="preserve"> </w:t>
      </w:r>
      <w:r w:rsidR="002A6917" w:rsidRPr="0016233E">
        <w:rPr>
          <w:rFonts w:ascii="Segoe UI" w:hAnsi="Segoe UI" w:cs="Segoe UI"/>
          <w:sz w:val="22"/>
          <w:szCs w:val="22"/>
        </w:rPr>
        <w:t xml:space="preserve">and must be approved by </w:t>
      </w:r>
      <w:r w:rsidR="005D5DF0" w:rsidRPr="0016233E">
        <w:rPr>
          <w:rFonts w:ascii="Segoe UI" w:hAnsi="Segoe UI" w:cs="Segoe UI"/>
          <w:sz w:val="22"/>
          <w:szCs w:val="22"/>
        </w:rPr>
        <w:t>UNC CPD</w:t>
      </w:r>
      <w:r w:rsidR="002A6917" w:rsidRPr="0016233E">
        <w:rPr>
          <w:rFonts w:ascii="Segoe UI" w:hAnsi="Segoe UI" w:cs="Segoe UI"/>
          <w:sz w:val="22"/>
          <w:szCs w:val="22"/>
        </w:rPr>
        <w:t xml:space="preserve"> </w:t>
      </w:r>
      <w:r w:rsidR="002A6917" w:rsidRPr="0016233E">
        <w:rPr>
          <w:rFonts w:ascii="Segoe UI" w:hAnsi="Segoe UI" w:cs="Segoe UI"/>
          <w:i/>
          <w:sz w:val="22"/>
          <w:szCs w:val="22"/>
        </w:rPr>
        <w:t xml:space="preserve">prior </w:t>
      </w:r>
      <w:r w:rsidR="002A6917" w:rsidRPr="0016233E">
        <w:rPr>
          <w:rFonts w:ascii="Segoe UI" w:hAnsi="Segoe UI" w:cs="Segoe UI"/>
          <w:sz w:val="22"/>
          <w:szCs w:val="22"/>
        </w:rPr>
        <w:t>to offering the exhibit space to vendors.</w:t>
      </w:r>
      <w:r w:rsidR="005D5DF0" w:rsidRPr="0016233E">
        <w:rPr>
          <w:rFonts w:ascii="Segoe UI" w:hAnsi="Segoe UI" w:cs="Segoe UI"/>
          <w:sz w:val="22"/>
          <w:szCs w:val="22"/>
        </w:rPr>
        <w:t xml:space="preserve">  All materials sent to vendors offering exhibit space must be pre-approved by UNC CPD.</w:t>
      </w:r>
    </w:p>
    <w:p w14:paraId="6288E3E3" w14:textId="77777777" w:rsidR="002A6917" w:rsidRPr="0016233E" w:rsidRDefault="002A6917" w:rsidP="005B6E01">
      <w:pPr>
        <w:tabs>
          <w:tab w:val="left" w:pos="540"/>
        </w:tabs>
        <w:rPr>
          <w:rFonts w:ascii="Segoe UI" w:hAnsi="Segoe UI" w:cs="Segoe UI"/>
          <w:sz w:val="22"/>
          <w:szCs w:val="22"/>
        </w:rPr>
      </w:pPr>
    </w:p>
    <w:p w14:paraId="389B6484" w14:textId="6B7A0B26" w:rsidR="002A6917" w:rsidRPr="0016233E" w:rsidRDefault="002A6917" w:rsidP="009C6585">
      <w:pPr>
        <w:tabs>
          <w:tab w:val="left" w:pos="540"/>
        </w:tabs>
        <w:rPr>
          <w:rFonts w:ascii="Segoe UI" w:hAnsi="Segoe UI" w:cs="Segoe UI"/>
          <w:sz w:val="22"/>
          <w:szCs w:val="22"/>
        </w:rPr>
      </w:pPr>
      <w:r w:rsidRPr="0016233E">
        <w:rPr>
          <w:rFonts w:ascii="Segoe UI" w:hAnsi="Segoe UI" w:cs="Segoe UI"/>
          <w:sz w:val="22"/>
          <w:szCs w:val="22"/>
        </w:rPr>
        <w:t xml:space="preserve">Exhibit fee rates cannot differ between specific companies.  Exhibit fee rates can distinguish between types of companies (i.e. for profit/non-profit, </w:t>
      </w:r>
      <w:r w:rsidR="001226E5" w:rsidRPr="0016233E">
        <w:rPr>
          <w:rFonts w:ascii="Segoe UI" w:hAnsi="Segoe UI" w:cs="Segoe UI"/>
          <w:sz w:val="22"/>
          <w:szCs w:val="22"/>
        </w:rPr>
        <w:t>p</w:t>
      </w:r>
      <w:r w:rsidRPr="0016233E">
        <w:rPr>
          <w:rFonts w:ascii="Segoe UI" w:hAnsi="Segoe UI" w:cs="Segoe UI"/>
          <w:sz w:val="22"/>
          <w:szCs w:val="22"/>
        </w:rPr>
        <w:t>harmaceutical/biomedical device).</w:t>
      </w:r>
      <w:r w:rsidR="0039289D" w:rsidRPr="0016233E">
        <w:rPr>
          <w:rFonts w:ascii="Segoe UI" w:hAnsi="Segoe UI" w:cs="Segoe UI"/>
          <w:sz w:val="22"/>
          <w:szCs w:val="22"/>
        </w:rPr>
        <w:t xml:space="preserve">  If different levels of exhibit fee are offered, these </w:t>
      </w:r>
      <w:r w:rsidR="004E15D3" w:rsidRPr="0016233E">
        <w:rPr>
          <w:rFonts w:ascii="Segoe UI" w:hAnsi="Segoe UI" w:cs="Segoe UI"/>
          <w:sz w:val="22"/>
          <w:szCs w:val="22"/>
        </w:rPr>
        <w:t xml:space="preserve">levels must </w:t>
      </w:r>
      <w:r w:rsidR="0039289D" w:rsidRPr="0016233E">
        <w:rPr>
          <w:rFonts w:ascii="Segoe UI" w:hAnsi="Segoe UI" w:cs="Segoe UI"/>
          <w:sz w:val="22"/>
          <w:szCs w:val="22"/>
        </w:rPr>
        <w:t>be offered to all companies that qualify (i.e. all non-profits must be offered the non-profit level).</w:t>
      </w:r>
    </w:p>
    <w:p w14:paraId="3C6BE8C1" w14:textId="77777777" w:rsidR="002A6917" w:rsidRPr="0016233E" w:rsidRDefault="002A6917" w:rsidP="005B6E01">
      <w:pPr>
        <w:tabs>
          <w:tab w:val="left" w:pos="540"/>
        </w:tabs>
        <w:rPr>
          <w:rFonts w:ascii="Segoe UI" w:hAnsi="Segoe UI" w:cs="Segoe UI"/>
          <w:sz w:val="22"/>
          <w:szCs w:val="22"/>
        </w:rPr>
      </w:pPr>
    </w:p>
    <w:p w14:paraId="12CD14EC" w14:textId="7FDD7480" w:rsidR="002A6917" w:rsidRPr="0016233E" w:rsidRDefault="002A6917" w:rsidP="001C48ED">
      <w:pPr>
        <w:tabs>
          <w:tab w:val="left" w:pos="540"/>
        </w:tabs>
        <w:rPr>
          <w:rFonts w:ascii="Segoe UI" w:hAnsi="Segoe UI" w:cs="Segoe UI"/>
          <w:sz w:val="22"/>
          <w:szCs w:val="22"/>
        </w:rPr>
      </w:pPr>
      <w:r w:rsidRPr="0016233E">
        <w:rPr>
          <w:rFonts w:ascii="Segoe UI" w:hAnsi="Segoe UI" w:cs="Segoe UI"/>
          <w:sz w:val="22"/>
          <w:szCs w:val="22"/>
        </w:rPr>
        <w:t xml:space="preserve">Exhibit fee rates can incorporate logistical factors, including number of tables, number of days, and similar variables.  Exhibit </w:t>
      </w:r>
      <w:r w:rsidR="004E15D3" w:rsidRPr="0016233E">
        <w:rPr>
          <w:rFonts w:ascii="Segoe UI" w:hAnsi="Segoe UI" w:cs="Segoe UI"/>
          <w:sz w:val="22"/>
          <w:szCs w:val="22"/>
        </w:rPr>
        <w:t xml:space="preserve">fees can also include fees for </w:t>
      </w:r>
      <w:r w:rsidRPr="0016233E">
        <w:rPr>
          <w:rFonts w:ascii="Segoe UI" w:hAnsi="Segoe UI" w:cs="Segoe UI"/>
          <w:sz w:val="22"/>
          <w:szCs w:val="22"/>
        </w:rPr>
        <w:t>additional services, such as network capabilities, extra power outlets, etc.</w:t>
      </w:r>
    </w:p>
    <w:p w14:paraId="60A86F49" w14:textId="77777777" w:rsidR="00FF5AB7" w:rsidRPr="0016233E" w:rsidRDefault="00FF5AB7" w:rsidP="005B6E01">
      <w:pPr>
        <w:tabs>
          <w:tab w:val="left" w:pos="540"/>
        </w:tabs>
        <w:rPr>
          <w:rFonts w:ascii="Segoe UI" w:hAnsi="Segoe UI" w:cs="Segoe UI"/>
          <w:sz w:val="22"/>
          <w:szCs w:val="22"/>
        </w:rPr>
      </w:pPr>
    </w:p>
    <w:p w14:paraId="38C21D49" w14:textId="3487B17C" w:rsidR="00FF5AB7" w:rsidRPr="0016233E" w:rsidRDefault="00FF5AB7" w:rsidP="001C48ED">
      <w:pPr>
        <w:tabs>
          <w:tab w:val="left" w:pos="540"/>
        </w:tabs>
        <w:rPr>
          <w:rFonts w:ascii="Segoe UI" w:hAnsi="Segoe UI" w:cs="Segoe UI"/>
          <w:sz w:val="22"/>
          <w:szCs w:val="22"/>
        </w:rPr>
      </w:pPr>
      <w:r w:rsidRPr="0016233E">
        <w:rPr>
          <w:rFonts w:ascii="Segoe UI" w:hAnsi="Segoe UI" w:cs="Segoe UI"/>
          <w:sz w:val="22"/>
          <w:szCs w:val="22"/>
        </w:rPr>
        <w:t xml:space="preserve">Exhibitors are responsible for any shipping, handling, or storage fees for exhibit materials.  </w:t>
      </w:r>
      <w:r w:rsidR="005D5DF0" w:rsidRPr="0016233E">
        <w:rPr>
          <w:rFonts w:ascii="Segoe UI" w:hAnsi="Segoe UI" w:cs="Segoe UI"/>
          <w:sz w:val="22"/>
          <w:szCs w:val="22"/>
        </w:rPr>
        <w:t>UNC CPD</w:t>
      </w:r>
      <w:r w:rsidRPr="0016233E">
        <w:rPr>
          <w:rFonts w:ascii="Segoe UI" w:hAnsi="Segoe UI" w:cs="Segoe UI"/>
          <w:sz w:val="22"/>
          <w:szCs w:val="22"/>
        </w:rPr>
        <w:t xml:space="preserve"> assumes no responsibility for damage incurred in shipping or storage.</w:t>
      </w:r>
    </w:p>
    <w:p w14:paraId="09EA443A" w14:textId="77777777" w:rsidR="009C7104" w:rsidRPr="0016233E" w:rsidRDefault="009C7104" w:rsidP="009C7104">
      <w:pPr>
        <w:tabs>
          <w:tab w:val="left" w:pos="540"/>
        </w:tabs>
        <w:ind w:left="540" w:hanging="540"/>
        <w:rPr>
          <w:rFonts w:ascii="Segoe UI" w:hAnsi="Segoe UI" w:cs="Segoe UI"/>
          <w:sz w:val="22"/>
          <w:szCs w:val="22"/>
        </w:rPr>
      </w:pPr>
    </w:p>
    <w:p w14:paraId="7B481C37" w14:textId="055DDE9D" w:rsidR="009C7104" w:rsidRPr="0016233E" w:rsidRDefault="009C7104" w:rsidP="001C48ED">
      <w:pPr>
        <w:tabs>
          <w:tab w:val="left" w:pos="0"/>
        </w:tabs>
        <w:rPr>
          <w:rFonts w:ascii="Segoe UI" w:hAnsi="Segoe UI" w:cs="Segoe UI"/>
          <w:sz w:val="22"/>
          <w:szCs w:val="22"/>
        </w:rPr>
      </w:pPr>
      <w:r w:rsidRPr="0016233E">
        <w:rPr>
          <w:rFonts w:ascii="Segoe UI" w:hAnsi="Segoe UI" w:cs="Segoe UI"/>
          <w:sz w:val="22"/>
          <w:szCs w:val="22"/>
        </w:rPr>
        <w:t>The educational partner is responsible for collecting exhibit fees and may set rules regarding deadlines and refunds as necessary.  The educational partner is responsible for ensuring compliance with any relevant State or Federal laws or University policies.</w:t>
      </w:r>
    </w:p>
    <w:p w14:paraId="7EC55023" w14:textId="174711AD" w:rsidR="002A6917" w:rsidRDefault="002A6917" w:rsidP="005B6E01">
      <w:pPr>
        <w:tabs>
          <w:tab w:val="left" w:pos="540"/>
        </w:tabs>
        <w:rPr>
          <w:rFonts w:ascii="Segoe UI" w:hAnsi="Segoe UI" w:cs="Segoe UI"/>
          <w:sz w:val="22"/>
          <w:szCs w:val="22"/>
        </w:rPr>
      </w:pPr>
    </w:p>
    <w:p w14:paraId="433C1B53" w14:textId="50962CFA" w:rsidR="00191802" w:rsidRPr="0016233E" w:rsidRDefault="00191802" w:rsidP="005B6E01">
      <w:pPr>
        <w:tabs>
          <w:tab w:val="left" w:pos="540"/>
        </w:tabs>
        <w:rPr>
          <w:rFonts w:ascii="Segoe UI" w:hAnsi="Segoe UI" w:cs="Segoe UI"/>
          <w:sz w:val="22"/>
          <w:szCs w:val="22"/>
        </w:rPr>
      </w:pPr>
      <w:r>
        <w:rPr>
          <w:rFonts w:ascii="Segoe UI" w:hAnsi="Segoe UI" w:cs="Segoe UI"/>
          <w:sz w:val="22"/>
          <w:szCs w:val="22"/>
        </w:rPr>
        <w:t>Prior to the activity, the educational partner must provide UNC CPD with a list of exhibitors including their fees and the location of their exhibit table(s) within the exhibit area floor plan.</w:t>
      </w:r>
    </w:p>
    <w:p w14:paraId="1C7DE8D3" w14:textId="2559AB5D" w:rsidR="008B44B2" w:rsidRPr="0016233E" w:rsidRDefault="008B44B2" w:rsidP="005B6E01">
      <w:pPr>
        <w:tabs>
          <w:tab w:val="left" w:pos="540"/>
        </w:tabs>
        <w:rPr>
          <w:rFonts w:ascii="Segoe UI" w:hAnsi="Segoe UI" w:cs="Segoe UI"/>
          <w:sz w:val="22"/>
          <w:szCs w:val="22"/>
        </w:rPr>
      </w:pPr>
    </w:p>
    <w:p w14:paraId="7C0FD7E9" w14:textId="06DB10A4" w:rsidR="008B44B2" w:rsidRPr="0016233E" w:rsidRDefault="008B44B2" w:rsidP="005B6E01">
      <w:pPr>
        <w:tabs>
          <w:tab w:val="left" w:pos="540"/>
        </w:tabs>
        <w:rPr>
          <w:rFonts w:ascii="Segoe UI" w:hAnsi="Segoe UI" w:cs="Segoe UI"/>
          <w:sz w:val="22"/>
          <w:szCs w:val="22"/>
        </w:rPr>
      </w:pPr>
    </w:p>
    <w:p w14:paraId="1D1A14F5" w14:textId="0CA2C962" w:rsidR="008B44B2" w:rsidRPr="0016233E" w:rsidRDefault="008B44B2" w:rsidP="005B6E01">
      <w:pPr>
        <w:tabs>
          <w:tab w:val="left" w:pos="540"/>
        </w:tabs>
        <w:rPr>
          <w:rFonts w:ascii="Segoe UI" w:hAnsi="Segoe UI" w:cs="Segoe UI"/>
          <w:sz w:val="22"/>
          <w:szCs w:val="22"/>
        </w:rPr>
      </w:pPr>
    </w:p>
    <w:p w14:paraId="5C1467ED" w14:textId="15E3D933" w:rsidR="008B44B2" w:rsidRPr="0016233E" w:rsidRDefault="008B44B2" w:rsidP="005B6E01">
      <w:pPr>
        <w:tabs>
          <w:tab w:val="left" w:pos="540"/>
        </w:tabs>
        <w:rPr>
          <w:rFonts w:ascii="Segoe UI" w:hAnsi="Segoe UI" w:cs="Segoe UI"/>
          <w:sz w:val="22"/>
          <w:szCs w:val="22"/>
        </w:rPr>
      </w:pPr>
    </w:p>
    <w:p w14:paraId="611034CB" w14:textId="45C64396" w:rsidR="008B44B2" w:rsidRPr="0016233E" w:rsidRDefault="008B44B2" w:rsidP="005B6E01">
      <w:pPr>
        <w:tabs>
          <w:tab w:val="left" w:pos="540"/>
        </w:tabs>
        <w:rPr>
          <w:rFonts w:ascii="Segoe UI" w:hAnsi="Segoe UI" w:cs="Segoe UI"/>
          <w:sz w:val="22"/>
          <w:szCs w:val="22"/>
        </w:rPr>
      </w:pPr>
    </w:p>
    <w:p w14:paraId="621BA449" w14:textId="597A79B5" w:rsidR="008B44B2" w:rsidRPr="0016233E" w:rsidRDefault="008B44B2" w:rsidP="005B6E01">
      <w:pPr>
        <w:tabs>
          <w:tab w:val="left" w:pos="540"/>
        </w:tabs>
        <w:rPr>
          <w:rFonts w:ascii="Segoe UI" w:hAnsi="Segoe UI" w:cs="Segoe UI"/>
          <w:sz w:val="22"/>
          <w:szCs w:val="22"/>
        </w:rPr>
      </w:pPr>
    </w:p>
    <w:p w14:paraId="2E488790" w14:textId="3F9806FB" w:rsidR="00B944B1" w:rsidRPr="0016233E" w:rsidRDefault="008B44B2" w:rsidP="00B944B1">
      <w:pPr>
        <w:tabs>
          <w:tab w:val="left" w:pos="540"/>
        </w:tabs>
        <w:suppressAutoHyphens/>
        <w:rPr>
          <w:rFonts w:ascii="Segoe UI" w:hAnsi="Segoe UI" w:cs="Segoe UI"/>
          <w:sz w:val="22"/>
          <w:szCs w:val="22"/>
        </w:rPr>
      </w:pPr>
      <w:r w:rsidRPr="0016233E">
        <w:rPr>
          <w:rFonts w:ascii="Segoe UI" w:hAnsi="Segoe UI" w:cs="Segoe UI"/>
          <w:sz w:val="22"/>
          <w:szCs w:val="22"/>
        </w:rPr>
        <w:t xml:space="preserve">Revised </w:t>
      </w:r>
      <w:r w:rsidR="008A505E" w:rsidRPr="0016233E">
        <w:rPr>
          <w:rFonts w:ascii="Segoe UI" w:hAnsi="Segoe UI" w:cs="Segoe UI"/>
          <w:sz w:val="22"/>
          <w:szCs w:val="22"/>
        </w:rPr>
        <w:t>0</w:t>
      </w:r>
      <w:r w:rsidR="006F05AB" w:rsidRPr="0016233E">
        <w:rPr>
          <w:rFonts w:ascii="Segoe UI" w:hAnsi="Segoe UI" w:cs="Segoe UI"/>
          <w:sz w:val="22"/>
          <w:szCs w:val="22"/>
        </w:rPr>
        <w:t>4/03/2025</w:t>
      </w:r>
    </w:p>
    <w:p w14:paraId="5AF23C94" w14:textId="1428D93C" w:rsidR="003F144E" w:rsidRPr="00370779" w:rsidRDefault="003F144E" w:rsidP="00B944B1">
      <w:pPr>
        <w:tabs>
          <w:tab w:val="left" w:pos="540"/>
        </w:tabs>
        <w:suppressAutoHyphens/>
        <w:rPr>
          <w:rFonts w:ascii="Segoe UI" w:hAnsi="Segoe UI" w:cs="Segoe UI"/>
          <w:sz w:val="22"/>
          <w:szCs w:val="22"/>
        </w:rPr>
      </w:pPr>
      <w:r w:rsidRPr="0016233E">
        <w:rPr>
          <w:rFonts w:ascii="Segoe UI" w:hAnsi="Segoe UI" w:cs="Segoe UI"/>
          <w:sz w:val="22"/>
          <w:szCs w:val="22"/>
        </w:rPr>
        <w:t xml:space="preserve">Approved by SOM Academic Council </w:t>
      </w:r>
      <w:r w:rsidR="0016233E">
        <w:rPr>
          <w:rFonts w:ascii="Segoe UI" w:hAnsi="Segoe UI" w:cs="Segoe UI"/>
          <w:sz w:val="22"/>
          <w:szCs w:val="22"/>
        </w:rPr>
        <w:t>04/14/2025</w:t>
      </w:r>
    </w:p>
    <w:sectPr w:rsidR="003F144E" w:rsidRPr="00370779" w:rsidSect="009C0536">
      <w:footerReference w:type="even" r:id="rId11"/>
      <w:footerReference w:type="defaul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E755ED" w14:textId="77777777" w:rsidR="0058616B" w:rsidRDefault="0058616B">
      <w:r>
        <w:separator/>
      </w:r>
    </w:p>
  </w:endnote>
  <w:endnote w:type="continuationSeparator" w:id="0">
    <w:p w14:paraId="76182AA5" w14:textId="77777777" w:rsidR="0058616B" w:rsidRDefault="005861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2" w:usb2="00000000" w:usb3="00000000" w:csb0="0000009F" w:csb1="00000000"/>
  </w:font>
  <w:font w:name="MSTT31c8b3">
    <w:altName w:val="Calibri"/>
    <w:panose1 w:val="020B0604020202020204"/>
    <w:charset w:val="00"/>
    <w:family w:val="auto"/>
    <w:notTrueType/>
    <w:pitch w:val="default"/>
    <w:sig w:usb0="00000003" w:usb1="00000000" w:usb2="00000000" w:usb3="00000000" w:csb0="00000001" w:csb1="00000000"/>
  </w:font>
  <w:font w:name="CG Times">
    <w:panose1 w:val="020B0604020202020204"/>
    <w:charset w:val="00"/>
    <w:family w:val="roman"/>
    <w:notTrueType/>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CNMLM K+ Melior">
    <w:altName w:val="Cambria"/>
    <w:panose1 w:val="020B06040202020202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DF566" w14:textId="77777777" w:rsidR="005B6E01" w:rsidRDefault="005B6E01" w:rsidP="00866EB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A4C2E76" w14:textId="77777777" w:rsidR="005B6E01" w:rsidRDefault="005B6E0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1F43" w14:textId="77777777" w:rsidR="005B6E01" w:rsidRDefault="005B6E01" w:rsidP="00866EB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6522D">
      <w:rPr>
        <w:rStyle w:val="PageNumber"/>
        <w:noProof/>
      </w:rPr>
      <w:t>4</w:t>
    </w:r>
    <w:r>
      <w:rPr>
        <w:rStyle w:val="PageNumber"/>
      </w:rPr>
      <w:fldChar w:fldCharType="end"/>
    </w:r>
  </w:p>
  <w:p w14:paraId="287C03AA" w14:textId="77777777" w:rsidR="005B6E01" w:rsidRDefault="005B6E0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873F57" w14:textId="77777777" w:rsidR="0058616B" w:rsidRDefault="0058616B">
      <w:r>
        <w:separator/>
      </w:r>
    </w:p>
  </w:footnote>
  <w:footnote w:type="continuationSeparator" w:id="0">
    <w:p w14:paraId="53B4630D" w14:textId="77777777" w:rsidR="0058616B" w:rsidRDefault="005861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B8125D"/>
    <w:multiLevelType w:val="hybridMultilevel"/>
    <w:tmpl w:val="28CEAF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2B5829"/>
    <w:multiLevelType w:val="hybridMultilevel"/>
    <w:tmpl w:val="804ED2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E7E2E1A"/>
    <w:multiLevelType w:val="hybridMultilevel"/>
    <w:tmpl w:val="F49829F8"/>
    <w:lvl w:ilvl="0" w:tplc="EB024FC6">
      <w:start w:val="1"/>
      <w:numFmt w:val="bullet"/>
      <w:lvlText w:val=""/>
      <w:lvlJc w:val="left"/>
      <w:pPr>
        <w:ind w:left="720" w:hanging="360"/>
      </w:pPr>
      <w:rPr>
        <w:rFonts w:ascii="Symbol" w:eastAsiaTheme="minorHAnsi" w:hAnsi="Symbol"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5834A84"/>
    <w:multiLevelType w:val="hybridMultilevel"/>
    <w:tmpl w:val="F7DEC444"/>
    <w:lvl w:ilvl="0" w:tplc="ABB61362">
      <w:start w:val="1"/>
      <w:numFmt w:val="decimal"/>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5EAF27EF"/>
    <w:multiLevelType w:val="hybridMultilevel"/>
    <w:tmpl w:val="660C377C"/>
    <w:lvl w:ilvl="0" w:tplc="0F4E9C38">
      <w:start w:val="1"/>
      <w:numFmt w:val="lowerLetter"/>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53358380">
    <w:abstractNumId w:val="2"/>
  </w:num>
  <w:num w:numId="2" w16cid:durableId="1936747943">
    <w:abstractNumId w:val="1"/>
  </w:num>
  <w:num w:numId="3" w16cid:durableId="1796218052">
    <w:abstractNumId w:val="0"/>
  </w:num>
  <w:num w:numId="4" w16cid:durableId="1774859989">
    <w:abstractNumId w:val="4"/>
  </w:num>
  <w:num w:numId="5" w16cid:durableId="901720955">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59FB"/>
    <w:rsid w:val="00007ADF"/>
    <w:rsid w:val="00013268"/>
    <w:rsid w:val="00015B2F"/>
    <w:rsid w:val="00023BBD"/>
    <w:rsid w:val="00025DEB"/>
    <w:rsid w:val="00027F76"/>
    <w:rsid w:val="00032889"/>
    <w:rsid w:val="000330B8"/>
    <w:rsid w:val="0003579B"/>
    <w:rsid w:val="00036630"/>
    <w:rsid w:val="00045096"/>
    <w:rsid w:val="00070DBC"/>
    <w:rsid w:val="00071D6B"/>
    <w:rsid w:val="00073051"/>
    <w:rsid w:val="000770AC"/>
    <w:rsid w:val="00080CB1"/>
    <w:rsid w:val="00084CD2"/>
    <w:rsid w:val="000931C0"/>
    <w:rsid w:val="000A41CD"/>
    <w:rsid w:val="000B4496"/>
    <w:rsid w:val="000D167F"/>
    <w:rsid w:val="000D7267"/>
    <w:rsid w:val="000E15E7"/>
    <w:rsid w:val="000E1720"/>
    <w:rsid w:val="001020EF"/>
    <w:rsid w:val="00103CF3"/>
    <w:rsid w:val="00107E3B"/>
    <w:rsid w:val="00120AFB"/>
    <w:rsid w:val="001226E5"/>
    <w:rsid w:val="001319D6"/>
    <w:rsid w:val="00131A2A"/>
    <w:rsid w:val="00135B9A"/>
    <w:rsid w:val="0014637F"/>
    <w:rsid w:val="00153A38"/>
    <w:rsid w:val="00156413"/>
    <w:rsid w:val="00160350"/>
    <w:rsid w:val="001605A3"/>
    <w:rsid w:val="0016233E"/>
    <w:rsid w:val="00162897"/>
    <w:rsid w:val="00171E5A"/>
    <w:rsid w:val="00177D68"/>
    <w:rsid w:val="00184DF2"/>
    <w:rsid w:val="00191802"/>
    <w:rsid w:val="00192AAE"/>
    <w:rsid w:val="001962E1"/>
    <w:rsid w:val="001A1D1C"/>
    <w:rsid w:val="001A561A"/>
    <w:rsid w:val="001B439F"/>
    <w:rsid w:val="001C285B"/>
    <w:rsid w:val="001C48ED"/>
    <w:rsid w:val="001C52EF"/>
    <w:rsid w:val="001C6071"/>
    <w:rsid w:val="001D3EC4"/>
    <w:rsid w:val="001D6BB4"/>
    <w:rsid w:val="001E7913"/>
    <w:rsid w:val="001F2990"/>
    <w:rsid w:val="001F2F05"/>
    <w:rsid w:val="00206515"/>
    <w:rsid w:val="00206B9B"/>
    <w:rsid w:val="0022042F"/>
    <w:rsid w:val="00225024"/>
    <w:rsid w:val="00241FC0"/>
    <w:rsid w:val="00242EAC"/>
    <w:rsid w:val="00245F09"/>
    <w:rsid w:val="00251973"/>
    <w:rsid w:val="00252EF5"/>
    <w:rsid w:val="00253624"/>
    <w:rsid w:val="002556B4"/>
    <w:rsid w:val="00262BE3"/>
    <w:rsid w:val="0026361D"/>
    <w:rsid w:val="00287301"/>
    <w:rsid w:val="00293896"/>
    <w:rsid w:val="00294AC1"/>
    <w:rsid w:val="002A1D69"/>
    <w:rsid w:val="002A6917"/>
    <w:rsid w:val="002B6C02"/>
    <w:rsid w:val="002C7B86"/>
    <w:rsid w:val="002D12C5"/>
    <w:rsid w:val="002D277E"/>
    <w:rsid w:val="002D3238"/>
    <w:rsid w:val="002E5577"/>
    <w:rsid w:val="00301B8D"/>
    <w:rsid w:val="00302E5F"/>
    <w:rsid w:val="00304879"/>
    <w:rsid w:val="00306D86"/>
    <w:rsid w:val="00311011"/>
    <w:rsid w:val="00314DC2"/>
    <w:rsid w:val="00315C82"/>
    <w:rsid w:val="0031716E"/>
    <w:rsid w:val="003357DD"/>
    <w:rsid w:val="00337925"/>
    <w:rsid w:val="003379AC"/>
    <w:rsid w:val="00345261"/>
    <w:rsid w:val="00345B4B"/>
    <w:rsid w:val="00361D46"/>
    <w:rsid w:val="00370779"/>
    <w:rsid w:val="003820DA"/>
    <w:rsid w:val="00384A56"/>
    <w:rsid w:val="00384CA8"/>
    <w:rsid w:val="00384CF0"/>
    <w:rsid w:val="0039289D"/>
    <w:rsid w:val="003966ED"/>
    <w:rsid w:val="003A024A"/>
    <w:rsid w:val="003A07C8"/>
    <w:rsid w:val="003A1C1A"/>
    <w:rsid w:val="003B0CB6"/>
    <w:rsid w:val="003C2D49"/>
    <w:rsid w:val="003D4B0B"/>
    <w:rsid w:val="003E0D06"/>
    <w:rsid w:val="003E31B1"/>
    <w:rsid w:val="003E602F"/>
    <w:rsid w:val="003F056F"/>
    <w:rsid w:val="003F144E"/>
    <w:rsid w:val="003F50FA"/>
    <w:rsid w:val="003F53B7"/>
    <w:rsid w:val="004026A3"/>
    <w:rsid w:val="004028E2"/>
    <w:rsid w:val="00423344"/>
    <w:rsid w:val="0042654B"/>
    <w:rsid w:val="00435CF7"/>
    <w:rsid w:val="00443C69"/>
    <w:rsid w:val="00464498"/>
    <w:rsid w:val="00472AF7"/>
    <w:rsid w:val="00475783"/>
    <w:rsid w:val="00480DC2"/>
    <w:rsid w:val="00483556"/>
    <w:rsid w:val="00484C82"/>
    <w:rsid w:val="00487FEA"/>
    <w:rsid w:val="00493084"/>
    <w:rsid w:val="004A0A2D"/>
    <w:rsid w:val="004B5D18"/>
    <w:rsid w:val="004D566A"/>
    <w:rsid w:val="004E15D3"/>
    <w:rsid w:val="004F6397"/>
    <w:rsid w:val="00522790"/>
    <w:rsid w:val="0052441F"/>
    <w:rsid w:val="0053761F"/>
    <w:rsid w:val="0054374B"/>
    <w:rsid w:val="00567B7B"/>
    <w:rsid w:val="005724DE"/>
    <w:rsid w:val="0057727B"/>
    <w:rsid w:val="0058616B"/>
    <w:rsid w:val="0058718B"/>
    <w:rsid w:val="00595387"/>
    <w:rsid w:val="00595FD2"/>
    <w:rsid w:val="00597147"/>
    <w:rsid w:val="005A12C8"/>
    <w:rsid w:val="005A13CD"/>
    <w:rsid w:val="005A2E99"/>
    <w:rsid w:val="005A4887"/>
    <w:rsid w:val="005B39EF"/>
    <w:rsid w:val="005B4E52"/>
    <w:rsid w:val="005B6E01"/>
    <w:rsid w:val="005D465C"/>
    <w:rsid w:val="005D5DF0"/>
    <w:rsid w:val="00600323"/>
    <w:rsid w:val="006006F4"/>
    <w:rsid w:val="00610D54"/>
    <w:rsid w:val="00610F8E"/>
    <w:rsid w:val="006138BC"/>
    <w:rsid w:val="006358C1"/>
    <w:rsid w:val="00637063"/>
    <w:rsid w:val="006414C6"/>
    <w:rsid w:val="006532F8"/>
    <w:rsid w:val="0066301E"/>
    <w:rsid w:val="00663E49"/>
    <w:rsid w:val="00670D67"/>
    <w:rsid w:val="00673F03"/>
    <w:rsid w:val="006759A8"/>
    <w:rsid w:val="006770D1"/>
    <w:rsid w:val="00677A71"/>
    <w:rsid w:val="006801E2"/>
    <w:rsid w:val="0068059D"/>
    <w:rsid w:val="006874C8"/>
    <w:rsid w:val="00695C16"/>
    <w:rsid w:val="006A6F15"/>
    <w:rsid w:val="006B7D73"/>
    <w:rsid w:val="006C0058"/>
    <w:rsid w:val="006C0C41"/>
    <w:rsid w:val="006C0E2D"/>
    <w:rsid w:val="006C5E73"/>
    <w:rsid w:val="006D629B"/>
    <w:rsid w:val="006E1A39"/>
    <w:rsid w:val="006E7466"/>
    <w:rsid w:val="006F05AB"/>
    <w:rsid w:val="00704295"/>
    <w:rsid w:val="007200AF"/>
    <w:rsid w:val="0072718C"/>
    <w:rsid w:val="00733808"/>
    <w:rsid w:val="00737CD9"/>
    <w:rsid w:val="00742BC3"/>
    <w:rsid w:val="0075055D"/>
    <w:rsid w:val="00751BBD"/>
    <w:rsid w:val="00762874"/>
    <w:rsid w:val="00771263"/>
    <w:rsid w:val="00777A57"/>
    <w:rsid w:val="00780E26"/>
    <w:rsid w:val="0078281A"/>
    <w:rsid w:val="007A5EBD"/>
    <w:rsid w:val="007B0B49"/>
    <w:rsid w:val="007B3D55"/>
    <w:rsid w:val="007B43C4"/>
    <w:rsid w:val="007B57E9"/>
    <w:rsid w:val="007C20AD"/>
    <w:rsid w:val="007C52D0"/>
    <w:rsid w:val="007D299F"/>
    <w:rsid w:val="007D4F07"/>
    <w:rsid w:val="007F5DD5"/>
    <w:rsid w:val="00802269"/>
    <w:rsid w:val="00834B5C"/>
    <w:rsid w:val="00835E5C"/>
    <w:rsid w:val="00842248"/>
    <w:rsid w:val="0084282E"/>
    <w:rsid w:val="00842FCA"/>
    <w:rsid w:val="00846C7A"/>
    <w:rsid w:val="00847623"/>
    <w:rsid w:val="00847C1A"/>
    <w:rsid w:val="00850902"/>
    <w:rsid w:val="00862C90"/>
    <w:rsid w:val="00863A46"/>
    <w:rsid w:val="0086414A"/>
    <w:rsid w:val="00866EB1"/>
    <w:rsid w:val="00876E5B"/>
    <w:rsid w:val="00877C88"/>
    <w:rsid w:val="00893A3C"/>
    <w:rsid w:val="008A28FD"/>
    <w:rsid w:val="008A505E"/>
    <w:rsid w:val="008B3C52"/>
    <w:rsid w:val="008B44B2"/>
    <w:rsid w:val="008B75AA"/>
    <w:rsid w:val="008C4AD8"/>
    <w:rsid w:val="008D0A7E"/>
    <w:rsid w:val="008E0124"/>
    <w:rsid w:val="008E2D12"/>
    <w:rsid w:val="008E2E0F"/>
    <w:rsid w:val="008E7E1F"/>
    <w:rsid w:val="00901400"/>
    <w:rsid w:val="00901781"/>
    <w:rsid w:val="00923C09"/>
    <w:rsid w:val="009358EB"/>
    <w:rsid w:val="00936827"/>
    <w:rsid w:val="0094089A"/>
    <w:rsid w:val="00951E68"/>
    <w:rsid w:val="009533FA"/>
    <w:rsid w:val="00953793"/>
    <w:rsid w:val="0095523E"/>
    <w:rsid w:val="00955730"/>
    <w:rsid w:val="009571DB"/>
    <w:rsid w:val="00967947"/>
    <w:rsid w:val="00972409"/>
    <w:rsid w:val="00982D02"/>
    <w:rsid w:val="009910E4"/>
    <w:rsid w:val="0099383C"/>
    <w:rsid w:val="009948D1"/>
    <w:rsid w:val="00994C04"/>
    <w:rsid w:val="009A29C0"/>
    <w:rsid w:val="009A59FB"/>
    <w:rsid w:val="009B05C7"/>
    <w:rsid w:val="009B314A"/>
    <w:rsid w:val="009B3B4A"/>
    <w:rsid w:val="009B3F74"/>
    <w:rsid w:val="009B4E97"/>
    <w:rsid w:val="009B6A47"/>
    <w:rsid w:val="009C0536"/>
    <w:rsid w:val="009C6585"/>
    <w:rsid w:val="009C7104"/>
    <w:rsid w:val="009D0155"/>
    <w:rsid w:val="009E27B4"/>
    <w:rsid w:val="00A00CF7"/>
    <w:rsid w:val="00A049B8"/>
    <w:rsid w:val="00A059A8"/>
    <w:rsid w:val="00A066AA"/>
    <w:rsid w:val="00A147E0"/>
    <w:rsid w:val="00A15AA5"/>
    <w:rsid w:val="00A16647"/>
    <w:rsid w:val="00A274BA"/>
    <w:rsid w:val="00A27CE1"/>
    <w:rsid w:val="00A46532"/>
    <w:rsid w:val="00A476CA"/>
    <w:rsid w:val="00A51D8B"/>
    <w:rsid w:val="00A543FF"/>
    <w:rsid w:val="00A56B2C"/>
    <w:rsid w:val="00A66631"/>
    <w:rsid w:val="00A73A39"/>
    <w:rsid w:val="00A80C05"/>
    <w:rsid w:val="00A97960"/>
    <w:rsid w:val="00AA357E"/>
    <w:rsid w:val="00AA63C3"/>
    <w:rsid w:val="00AA74D1"/>
    <w:rsid w:val="00AD06E0"/>
    <w:rsid w:val="00AD0BC1"/>
    <w:rsid w:val="00AD5D77"/>
    <w:rsid w:val="00AE1F8D"/>
    <w:rsid w:val="00AE21C0"/>
    <w:rsid w:val="00AE225F"/>
    <w:rsid w:val="00AE53B3"/>
    <w:rsid w:val="00AF27CD"/>
    <w:rsid w:val="00B04977"/>
    <w:rsid w:val="00B05F77"/>
    <w:rsid w:val="00B1283B"/>
    <w:rsid w:val="00B1400D"/>
    <w:rsid w:val="00B1477E"/>
    <w:rsid w:val="00B24ADE"/>
    <w:rsid w:val="00B312FD"/>
    <w:rsid w:val="00B33328"/>
    <w:rsid w:val="00B33BBE"/>
    <w:rsid w:val="00B4569E"/>
    <w:rsid w:val="00B50FA3"/>
    <w:rsid w:val="00B563D0"/>
    <w:rsid w:val="00B612E8"/>
    <w:rsid w:val="00B61C38"/>
    <w:rsid w:val="00B63BE4"/>
    <w:rsid w:val="00B84D80"/>
    <w:rsid w:val="00B944B1"/>
    <w:rsid w:val="00B968F1"/>
    <w:rsid w:val="00BA33A2"/>
    <w:rsid w:val="00BC26C6"/>
    <w:rsid w:val="00BE358D"/>
    <w:rsid w:val="00BF22EA"/>
    <w:rsid w:val="00BF368C"/>
    <w:rsid w:val="00C009B2"/>
    <w:rsid w:val="00C0717F"/>
    <w:rsid w:val="00C153BE"/>
    <w:rsid w:val="00C21690"/>
    <w:rsid w:val="00C2569D"/>
    <w:rsid w:val="00C425D3"/>
    <w:rsid w:val="00C60A30"/>
    <w:rsid w:val="00C6522D"/>
    <w:rsid w:val="00C9262F"/>
    <w:rsid w:val="00CB1424"/>
    <w:rsid w:val="00CC1853"/>
    <w:rsid w:val="00CC2982"/>
    <w:rsid w:val="00CD4688"/>
    <w:rsid w:val="00CE160A"/>
    <w:rsid w:val="00CF2798"/>
    <w:rsid w:val="00CF6DA4"/>
    <w:rsid w:val="00CF7193"/>
    <w:rsid w:val="00D00BCB"/>
    <w:rsid w:val="00D031EB"/>
    <w:rsid w:val="00D26BA1"/>
    <w:rsid w:val="00D31816"/>
    <w:rsid w:val="00D420B4"/>
    <w:rsid w:val="00D43913"/>
    <w:rsid w:val="00D57E3E"/>
    <w:rsid w:val="00D64D38"/>
    <w:rsid w:val="00D657F4"/>
    <w:rsid w:val="00D70A02"/>
    <w:rsid w:val="00D744F2"/>
    <w:rsid w:val="00D75EDC"/>
    <w:rsid w:val="00D77BDB"/>
    <w:rsid w:val="00D80E4D"/>
    <w:rsid w:val="00D85657"/>
    <w:rsid w:val="00D93761"/>
    <w:rsid w:val="00DB4C19"/>
    <w:rsid w:val="00DC3942"/>
    <w:rsid w:val="00DD30DC"/>
    <w:rsid w:val="00DE06A4"/>
    <w:rsid w:val="00DF55A9"/>
    <w:rsid w:val="00DF5F02"/>
    <w:rsid w:val="00DF676D"/>
    <w:rsid w:val="00E16A2E"/>
    <w:rsid w:val="00E1719F"/>
    <w:rsid w:val="00E171D3"/>
    <w:rsid w:val="00E2256D"/>
    <w:rsid w:val="00E27540"/>
    <w:rsid w:val="00E27655"/>
    <w:rsid w:val="00E31668"/>
    <w:rsid w:val="00E32D5B"/>
    <w:rsid w:val="00E338F5"/>
    <w:rsid w:val="00E35DFA"/>
    <w:rsid w:val="00E36DE6"/>
    <w:rsid w:val="00E379D0"/>
    <w:rsid w:val="00E56128"/>
    <w:rsid w:val="00E66BD9"/>
    <w:rsid w:val="00E673C3"/>
    <w:rsid w:val="00EA28F2"/>
    <w:rsid w:val="00EB2F6B"/>
    <w:rsid w:val="00EB34FB"/>
    <w:rsid w:val="00EC1144"/>
    <w:rsid w:val="00EE15CF"/>
    <w:rsid w:val="00EE3F01"/>
    <w:rsid w:val="00F028FA"/>
    <w:rsid w:val="00F04314"/>
    <w:rsid w:val="00F0516E"/>
    <w:rsid w:val="00F10671"/>
    <w:rsid w:val="00F1195D"/>
    <w:rsid w:val="00F16754"/>
    <w:rsid w:val="00F20DE8"/>
    <w:rsid w:val="00F226D6"/>
    <w:rsid w:val="00F5042C"/>
    <w:rsid w:val="00F5570E"/>
    <w:rsid w:val="00F73C0F"/>
    <w:rsid w:val="00F73D63"/>
    <w:rsid w:val="00FC376A"/>
    <w:rsid w:val="00FE17FE"/>
    <w:rsid w:val="00FE2F7D"/>
    <w:rsid w:val="00FE5633"/>
    <w:rsid w:val="00FF5AB7"/>
    <w:rsid w:val="00FF5C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455266"/>
  <w15:chartTrackingRefBased/>
  <w15:docId w15:val="{AC1F5D8A-8BB8-44F6-AA63-4FD8852F3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qFormat/>
    <w:pPr>
      <w:spacing w:before="100" w:beforeAutospacing="1" w:after="100" w:afterAutospacing="1"/>
      <w:outlineLvl w:val="0"/>
    </w:pPr>
    <w:rPr>
      <w:rFonts w:ascii="Arial Unicode MS" w:eastAsia="Arial Unicode MS" w:hAnsi="Arial Unicode MS"/>
      <w:b/>
      <w:color w:val="000000"/>
      <w:kern w:val="36"/>
      <w:sz w:val="32"/>
    </w:rPr>
  </w:style>
  <w:style w:type="paragraph" w:styleId="Heading2">
    <w:name w:val="heading 2"/>
    <w:basedOn w:val="Normal"/>
    <w:qFormat/>
    <w:pPr>
      <w:spacing w:before="100" w:beforeAutospacing="1" w:after="100" w:afterAutospacing="1"/>
      <w:outlineLvl w:val="1"/>
    </w:pPr>
    <w:rPr>
      <w:rFonts w:ascii="Arial Unicode MS" w:eastAsia="Arial Unicode MS" w:hAnsi="Arial Unicode MS"/>
      <w:b/>
      <w:color w:val="000000"/>
      <w:sz w:val="36"/>
    </w:rPr>
  </w:style>
  <w:style w:type="paragraph" w:styleId="Heading3">
    <w:name w:val="heading 3"/>
    <w:basedOn w:val="Normal"/>
    <w:next w:val="Normal"/>
    <w:qFormat/>
    <w:pPr>
      <w:keepNext/>
      <w:spacing w:before="240" w:after="60"/>
      <w:outlineLvl w:val="2"/>
    </w:pPr>
    <w:rPr>
      <w:rFonts w:ascii="Arial" w:hAnsi="Arial"/>
      <w:b/>
      <w:sz w:val="26"/>
    </w:rPr>
  </w:style>
  <w:style w:type="paragraph" w:styleId="Heading4">
    <w:name w:val="heading 4"/>
    <w:basedOn w:val="Normal"/>
    <w:next w:val="Normal"/>
    <w:qFormat/>
    <w:pPr>
      <w:keepNext/>
      <w:jc w:val="center"/>
      <w:outlineLvl w:val="3"/>
    </w:pPr>
    <w:rPr>
      <w:sz w:val="28"/>
    </w:rPr>
  </w:style>
  <w:style w:type="paragraph" w:styleId="Heading5">
    <w:name w:val="heading 5"/>
    <w:basedOn w:val="Normal"/>
    <w:next w:val="Normal"/>
    <w:qFormat/>
    <w:pPr>
      <w:keepN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4"/>
    </w:pPr>
    <w:rPr>
      <w:b/>
      <w:snapToGrid w:val="0"/>
      <w:color w:val="000000"/>
      <w:sz w:val="28"/>
    </w:rPr>
  </w:style>
  <w:style w:type="paragraph" w:styleId="Heading6">
    <w:name w:val="heading 6"/>
    <w:basedOn w:val="Normal"/>
    <w:next w:val="Normal"/>
    <w:qFormat/>
    <w:pPr>
      <w:keepNext/>
      <w:autoSpaceDE w:val="0"/>
      <w:autoSpaceDN w:val="0"/>
      <w:adjustRightInd w:val="0"/>
      <w:outlineLvl w:val="5"/>
    </w:pPr>
    <w:rPr>
      <w:b/>
      <w:u w:val="single"/>
    </w:rPr>
  </w:style>
  <w:style w:type="paragraph" w:styleId="Heading7">
    <w:name w:val="heading 7"/>
    <w:basedOn w:val="Normal"/>
    <w:next w:val="Normal"/>
    <w:qFormat/>
    <w:pPr>
      <w:keepNext/>
      <w:suppressAutoHyphens/>
      <w:ind w:right="-1080"/>
      <w:jc w:val="center"/>
      <w:outlineLvl w:val="6"/>
    </w:pPr>
    <w:rPr>
      <w:rFonts w:ascii="Arial" w:hAnsi="Arial"/>
      <w:b/>
      <w:sz w:val="44"/>
    </w:rPr>
  </w:style>
  <w:style w:type="paragraph" w:styleId="Heading8">
    <w:name w:val="heading 8"/>
    <w:basedOn w:val="Normal"/>
    <w:next w:val="Normal"/>
    <w:qFormat/>
    <w:pPr>
      <w:keepNext/>
      <w:autoSpaceDE w:val="0"/>
      <w:autoSpaceDN w:val="0"/>
      <w:adjustRightInd w:val="0"/>
      <w:outlineLvl w:val="7"/>
    </w:pPr>
    <w:rPr>
      <w:i/>
    </w:rPr>
  </w:style>
  <w:style w:type="paragraph" w:styleId="Heading9">
    <w:name w:val="heading 9"/>
    <w:basedOn w:val="Normal"/>
    <w:next w:val="Normal"/>
    <w:qFormat/>
    <w:pPr>
      <w:keepNext/>
      <w:tabs>
        <w:tab w:val="left" w:pos="2160"/>
        <w:tab w:val="left" w:pos="2880"/>
        <w:tab w:val="left" w:pos="3600"/>
        <w:tab w:val="left" w:pos="4320"/>
        <w:tab w:val="left" w:pos="5040"/>
        <w:tab w:val="left" w:pos="5760"/>
        <w:tab w:val="left" w:pos="6480"/>
        <w:tab w:val="left" w:pos="7200"/>
        <w:tab w:val="left" w:pos="7920"/>
        <w:tab w:val="left" w:pos="8640"/>
        <w:tab w:val="left" w:pos="9360"/>
      </w:tabs>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turnAddress">
    <w:name w:val="Return Address"/>
    <w:basedOn w:val="Normal"/>
    <w:pPr>
      <w:jc w:val="center"/>
    </w:pPr>
    <w:rPr>
      <w:rFonts w:ascii="Garamond" w:hAnsi="Garamond"/>
      <w:spacing w:val="-3"/>
      <w:sz w:val="20"/>
    </w:rPr>
  </w:style>
  <w:style w:type="paragraph" w:styleId="Title">
    <w:name w:val="Title"/>
    <w:basedOn w:val="Normal"/>
    <w:qFormat/>
    <w:pPr>
      <w:autoSpaceDE w:val="0"/>
      <w:autoSpaceDN w:val="0"/>
      <w:adjustRightInd w:val="0"/>
      <w:jc w:val="center"/>
    </w:pPr>
    <w:rPr>
      <w:rFonts w:ascii="MSTT31c8b3" w:hAnsi="MSTT31c8b3"/>
      <w:b/>
      <w:color w:val="000000"/>
      <w:sz w:val="20"/>
    </w:rPr>
  </w:style>
  <w:style w:type="paragraph" w:styleId="BodyText">
    <w:name w:val="Body Text"/>
    <w:basedOn w:val="Normal"/>
    <w:pPr>
      <w:autoSpaceDE w:val="0"/>
      <w:autoSpaceDN w:val="0"/>
      <w:adjustRightInd w:val="0"/>
    </w:pPr>
    <w:rPr>
      <w:rFonts w:ascii="Arial" w:hAnsi="Arial"/>
      <w:color w:val="000000"/>
      <w:sz w:val="22"/>
    </w:rPr>
  </w:style>
  <w:style w:type="character" w:styleId="Hyperlink">
    <w:name w:val="Hyperlink"/>
    <w:rPr>
      <w:color w:val="0000FF"/>
      <w:u w:val="single"/>
    </w:rPr>
  </w:style>
  <w:style w:type="paragraph" w:styleId="BodyTextIndent">
    <w:name w:val="Body Text Indent"/>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720"/>
    </w:pPr>
    <w:rPr>
      <w:b/>
      <w:i/>
    </w:rPr>
  </w:style>
  <w:style w:type="paragraph" w:styleId="NormalWeb">
    <w:name w:val="Normal (Web)"/>
    <w:basedOn w:val="Normal"/>
    <w:uiPriority w:val="99"/>
    <w:pPr>
      <w:spacing w:before="100" w:beforeAutospacing="1" w:after="100" w:afterAutospacing="1"/>
    </w:pPr>
    <w:rPr>
      <w:rFonts w:ascii="Arial Unicode MS" w:eastAsia="Arial Unicode MS" w:hAnsi="Arial Unicode MS"/>
    </w:rPr>
  </w:style>
  <w:style w:type="paragraph" w:styleId="BodyText2">
    <w:name w:val="Body Text 2"/>
    <w:basedOn w:val="Normal"/>
    <w:pPr>
      <w:tabs>
        <w:tab w:val="left" w:pos="2160"/>
        <w:tab w:val="left" w:pos="2880"/>
        <w:tab w:val="left" w:pos="3600"/>
        <w:tab w:val="left" w:pos="4320"/>
        <w:tab w:val="left" w:pos="5040"/>
        <w:tab w:val="left" w:pos="5760"/>
        <w:tab w:val="left" w:pos="6480"/>
        <w:tab w:val="left" w:pos="7200"/>
        <w:tab w:val="left" w:pos="7920"/>
        <w:tab w:val="left" w:pos="8640"/>
        <w:tab w:val="left" w:pos="9360"/>
      </w:tabs>
    </w:pPr>
    <w:rPr>
      <w:snapToGrid w:val="0"/>
      <w:color w:val="000000"/>
    </w:rPr>
  </w:style>
  <w:style w:type="paragraph" w:styleId="BodyText3">
    <w:name w:val="Body Text 3"/>
    <w:basedOn w:val="Normal"/>
    <w:pPr>
      <w:suppressAutoHyphens/>
      <w:ind w:right="-1080"/>
    </w:pPr>
    <w:rPr>
      <w:snapToGrid w:val="0"/>
      <w:color w:val="000000"/>
    </w:rPr>
  </w:style>
  <w:style w:type="paragraph" w:styleId="BodyTextIndent2">
    <w:name w:val="Body Text Indent 2"/>
    <w:basedOn w:val="Normal"/>
    <w:pPr>
      <w:tabs>
        <w:tab w:val="left" w:pos="2160"/>
        <w:tab w:val="left" w:pos="2880"/>
        <w:tab w:val="left" w:pos="3600"/>
        <w:tab w:val="left" w:pos="4320"/>
        <w:tab w:val="left" w:pos="5040"/>
        <w:tab w:val="left" w:pos="5760"/>
        <w:tab w:val="left" w:pos="6480"/>
        <w:tab w:val="left" w:pos="7200"/>
        <w:tab w:val="left" w:pos="7920"/>
        <w:tab w:val="left" w:pos="8640"/>
        <w:tab w:val="left" w:pos="9360"/>
      </w:tabs>
      <w:ind w:left="405" w:hanging="315"/>
    </w:pPr>
    <w:rPr>
      <w:i/>
      <w:snapToGrid w:val="0"/>
      <w:color w:val="000000"/>
    </w:rPr>
  </w:style>
  <w:style w:type="character" w:styleId="FollowedHyperlink">
    <w:name w:val="FollowedHyperlink"/>
    <w:rPr>
      <w:color w:val="800080"/>
      <w:u w:val="single"/>
    </w:rPr>
  </w:style>
  <w:style w:type="paragraph" w:styleId="EndnoteText">
    <w:name w:val="endnote text"/>
    <w:basedOn w:val="Normal"/>
    <w:semiHidden/>
    <w:pPr>
      <w:widowControl w:val="0"/>
    </w:pPr>
    <w:rPr>
      <w:rFonts w:ascii="CG Times" w:hAnsi="CG Times"/>
      <w:snapToGrid w:val="0"/>
    </w:rPr>
  </w:style>
  <w:style w:type="paragraph" w:styleId="BodyTextIndent3">
    <w:name w:val="Body Text Indent 3"/>
    <w:basedOn w:val="Normal"/>
    <w:pPr>
      <w:tabs>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Pr>
      <w:rFonts w:ascii="Comic Sans MS" w:hAnsi="Comic Sans MS"/>
      <w:sz w:val="20"/>
    </w:rPr>
  </w:style>
  <w:style w:type="paragraph" w:styleId="BlockText">
    <w:name w:val="Block Text"/>
    <w:basedOn w:val="Normal"/>
    <w:pPr>
      <w:suppressAutoHyphens/>
      <w:ind w:left="720" w:right="-1080"/>
    </w:pPr>
    <w:rPr>
      <w:rFonts w:ascii="Comic Sans MS" w:hAnsi="Comic Sans MS"/>
      <w:sz w:val="22"/>
    </w:rPr>
  </w:style>
  <w:style w:type="paragraph" w:styleId="TOC1">
    <w:name w:val="toc 1"/>
    <w:basedOn w:val="Normal"/>
    <w:next w:val="Normal"/>
    <w:autoRedefine/>
    <w:semiHidden/>
  </w:style>
  <w:style w:type="paragraph" w:styleId="TOC2">
    <w:name w:val="toc 2"/>
    <w:basedOn w:val="Normal"/>
    <w:next w:val="Normal"/>
    <w:autoRedefine/>
    <w:semiHidden/>
    <w:pPr>
      <w:tabs>
        <w:tab w:val="right" w:leader="dot" w:pos="9350"/>
      </w:tabs>
      <w:ind w:left="240"/>
      <w:jc w:val="center"/>
    </w:pPr>
    <w:rPr>
      <w:rFonts w:ascii="Comic Sans MS" w:hAnsi="Comic Sans MS"/>
      <w:b/>
      <w:sz w:val="28"/>
    </w:r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rsid w:val="00850902"/>
    <w:pPr>
      <w:tabs>
        <w:tab w:val="center" w:pos="4320"/>
        <w:tab w:val="right" w:pos="8640"/>
      </w:tabs>
    </w:pPr>
  </w:style>
  <w:style w:type="paragraph" w:styleId="FootnoteText">
    <w:name w:val="footnote text"/>
    <w:basedOn w:val="Normal"/>
    <w:semiHidden/>
    <w:rsid w:val="00B612E8"/>
    <w:rPr>
      <w:rFonts w:ascii="Arial" w:hAnsi="Arial"/>
      <w:sz w:val="20"/>
    </w:rPr>
  </w:style>
  <w:style w:type="character" w:styleId="FootnoteReference">
    <w:name w:val="footnote reference"/>
    <w:semiHidden/>
    <w:rsid w:val="00B612E8"/>
    <w:rPr>
      <w:vertAlign w:val="superscript"/>
    </w:rPr>
  </w:style>
  <w:style w:type="paragraph" w:customStyle="1" w:styleId="Default">
    <w:name w:val="Default"/>
    <w:rsid w:val="002A6917"/>
    <w:pPr>
      <w:autoSpaceDE w:val="0"/>
      <w:autoSpaceDN w:val="0"/>
      <w:adjustRightInd w:val="0"/>
    </w:pPr>
    <w:rPr>
      <w:rFonts w:ascii="CNMLM K+ Melior" w:hAnsi="CNMLM K+ Melior" w:cs="CNMLM K+ Melior"/>
      <w:color w:val="000000"/>
      <w:sz w:val="24"/>
      <w:szCs w:val="24"/>
    </w:rPr>
  </w:style>
  <w:style w:type="character" w:styleId="Strong">
    <w:name w:val="Strong"/>
    <w:qFormat/>
    <w:rsid w:val="00B312FD"/>
    <w:rPr>
      <w:b/>
      <w:bCs/>
    </w:rPr>
  </w:style>
  <w:style w:type="paragraph" w:styleId="HTMLPreformatted">
    <w:name w:val="HTML Preformatted"/>
    <w:basedOn w:val="Normal"/>
    <w:rsid w:val="00A979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styleId="CommentReference">
    <w:name w:val="annotation reference"/>
    <w:uiPriority w:val="99"/>
    <w:semiHidden/>
    <w:rsid w:val="001605A3"/>
    <w:rPr>
      <w:sz w:val="16"/>
      <w:szCs w:val="16"/>
    </w:rPr>
  </w:style>
  <w:style w:type="paragraph" w:styleId="CommentText">
    <w:name w:val="annotation text"/>
    <w:basedOn w:val="Normal"/>
    <w:link w:val="CommentTextChar"/>
    <w:uiPriority w:val="99"/>
    <w:semiHidden/>
    <w:rsid w:val="001605A3"/>
    <w:rPr>
      <w:sz w:val="20"/>
    </w:rPr>
  </w:style>
  <w:style w:type="paragraph" w:styleId="CommentSubject">
    <w:name w:val="annotation subject"/>
    <w:basedOn w:val="CommentText"/>
    <w:next w:val="CommentText"/>
    <w:semiHidden/>
    <w:rsid w:val="001605A3"/>
    <w:rPr>
      <w:b/>
      <w:bCs/>
    </w:rPr>
  </w:style>
  <w:style w:type="paragraph" w:styleId="BalloonText">
    <w:name w:val="Balloon Text"/>
    <w:basedOn w:val="Normal"/>
    <w:semiHidden/>
    <w:rsid w:val="001605A3"/>
    <w:rPr>
      <w:rFonts w:ascii="Tahoma" w:hAnsi="Tahoma" w:cs="Tahoma"/>
      <w:sz w:val="16"/>
      <w:szCs w:val="16"/>
    </w:rPr>
  </w:style>
  <w:style w:type="character" w:customStyle="1" w:styleId="CommentTextChar">
    <w:name w:val="Comment Text Char"/>
    <w:basedOn w:val="DefaultParagraphFont"/>
    <w:link w:val="CommentText"/>
    <w:uiPriority w:val="99"/>
    <w:semiHidden/>
    <w:rsid w:val="00742BC3"/>
  </w:style>
  <w:style w:type="paragraph" w:styleId="ListParagraph">
    <w:name w:val="List Paragraph"/>
    <w:basedOn w:val="Normal"/>
    <w:uiPriority w:val="34"/>
    <w:qFormat/>
    <w:rsid w:val="0066301E"/>
    <w:pPr>
      <w:spacing w:line="259" w:lineRule="auto"/>
      <w:ind w:left="720"/>
      <w:contextualSpacing/>
    </w:pPr>
    <w:rPr>
      <w:rFonts w:ascii="Segoe UI" w:eastAsiaTheme="minorHAnsi" w:hAnsi="Segoe UI" w:cs="Segoe UI"/>
      <w:sz w:val="22"/>
      <w:szCs w:val="22"/>
    </w:rPr>
  </w:style>
  <w:style w:type="paragraph" w:styleId="Revision">
    <w:name w:val="Revision"/>
    <w:hidden/>
    <w:uiPriority w:val="99"/>
    <w:semiHidden/>
    <w:rsid w:val="0014637F"/>
    <w:rPr>
      <w:sz w:val="24"/>
    </w:rPr>
  </w:style>
  <w:style w:type="character" w:styleId="Emphasis">
    <w:name w:val="Emphasis"/>
    <w:basedOn w:val="DefaultParagraphFont"/>
    <w:uiPriority w:val="20"/>
    <w:qFormat/>
    <w:rsid w:val="003966E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2082727">
      <w:bodyDiv w:val="1"/>
      <w:marLeft w:val="0"/>
      <w:marRight w:val="0"/>
      <w:marTop w:val="0"/>
      <w:marBottom w:val="0"/>
      <w:divBdr>
        <w:top w:val="none" w:sz="0" w:space="0" w:color="auto"/>
        <w:left w:val="none" w:sz="0" w:space="0" w:color="auto"/>
        <w:bottom w:val="none" w:sz="0" w:space="0" w:color="auto"/>
        <w:right w:val="none" w:sz="0" w:space="0" w:color="auto"/>
      </w:divBdr>
      <w:divsChild>
        <w:div w:id="6064248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87607415">
      <w:bodyDiv w:val="1"/>
      <w:marLeft w:val="0"/>
      <w:marRight w:val="0"/>
      <w:marTop w:val="0"/>
      <w:marBottom w:val="0"/>
      <w:divBdr>
        <w:top w:val="none" w:sz="0" w:space="0" w:color="auto"/>
        <w:left w:val="none" w:sz="0" w:space="0" w:color="auto"/>
        <w:bottom w:val="none" w:sz="0" w:space="0" w:color="auto"/>
        <w:right w:val="none" w:sz="0" w:space="0" w:color="auto"/>
      </w:divBdr>
    </w:div>
    <w:div w:id="1430735399">
      <w:bodyDiv w:val="1"/>
      <w:marLeft w:val="0"/>
      <w:marRight w:val="0"/>
      <w:marTop w:val="0"/>
      <w:marBottom w:val="0"/>
      <w:divBdr>
        <w:top w:val="none" w:sz="0" w:space="0" w:color="auto"/>
        <w:left w:val="none" w:sz="0" w:space="0" w:color="auto"/>
        <w:bottom w:val="none" w:sz="0" w:space="0" w:color="auto"/>
        <w:right w:val="none" w:sz="0" w:space="0" w:color="auto"/>
      </w:divBdr>
    </w:div>
    <w:div w:id="1639720274">
      <w:bodyDiv w:val="1"/>
      <w:marLeft w:val="0"/>
      <w:marRight w:val="0"/>
      <w:marTop w:val="0"/>
      <w:marBottom w:val="0"/>
      <w:divBdr>
        <w:top w:val="none" w:sz="0" w:space="0" w:color="auto"/>
        <w:left w:val="none" w:sz="0" w:space="0" w:color="auto"/>
        <w:bottom w:val="none" w:sz="0" w:space="0" w:color="auto"/>
        <w:right w:val="none" w:sz="0" w:space="0" w:color="auto"/>
      </w:divBdr>
      <w:divsChild>
        <w:div w:id="413668459">
          <w:marLeft w:val="0"/>
          <w:marRight w:val="0"/>
          <w:marTop w:val="0"/>
          <w:marBottom w:val="0"/>
          <w:divBdr>
            <w:top w:val="none" w:sz="0" w:space="0" w:color="auto"/>
            <w:left w:val="none" w:sz="0" w:space="0" w:color="auto"/>
            <w:bottom w:val="none" w:sz="0" w:space="0" w:color="auto"/>
            <w:right w:val="none" w:sz="0" w:space="0" w:color="auto"/>
          </w:divBdr>
          <w:divsChild>
            <w:div w:id="72895948">
              <w:marLeft w:val="0"/>
              <w:marRight w:val="0"/>
              <w:marTop w:val="0"/>
              <w:marBottom w:val="0"/>
              <w:divBdr>
                <w:top w:val="none" w:sz="0" w:space="0" w:color="auto"/>
                <w:left w:val="none" w:sz="0" w:space="0" w:color="auto"/>
                <w:bottom w:val="none" w:sz="0" w:space="0" w:color="auto"/>
                <w:right w:val="none" w:sz="0" w:space="0" w:color="auto"/>
              </w:divBdr>
            </w:div>
            <w:div w:id="131489334">
              <w:marLeft w:val="0"/>
              <w:marRight w:val="0"/>
              <w:marTop w:val="0"/>
              <w:marBottom w:val="0"/>
              <w:divBdr>
                <w:top w:val="none" w:sz="0" w:space="0" w:color="auto"/>
                <w:left w:val="none" w:sz="0" w:space="0" w:color="auto"/>
                <w:bottom w:val="none" w:sz="0" w:space="0" w:color="auto"/>
                <w:right w:val="none" w:sz="0" w:space="0" w:color="auto"/>
              </w:divBdr>
            </w:div>
            <w:div w:id="1328627158">
              <w:marLeft w:val="0"/>
              <w:marRight w:val="0"/>
              <w:marTop w:val="0"/>
              <w:marBottom w:val="0"/>
              <w:divBdr>
                <w:top w:val="none" w:sz="0" w:space="0" w:color="auto"/>
                <w:left w:val="none" w:sz="0" w:space="0" w:color="auto"/>
                <w:bottom w:val="none" w:sz="0" w:space="0" w:color="auto"/>
                <w:right w:val="none" w:sz="0" w:space="0" w:color="auto"/>
              </w:divBdr>
            </w:div>
            <w:div w:id="1370763781">
              <w:marLeft w:val="0"/>
              <w:marRight w:val="0"/>
              <w:marTop w:val="0"/>
              <w:marBottom w:val="0"/>
              <w:divBdr>
                <w:top w:val="none" w:sz="0" w:space="0" w:color="auto"/>
                <w:left w:val="none" w:sz="0" w:space="0" w:color="auto"/>
                <w:bottom w:val="none" w:sz="0" w:space="0" w:color="auto"/>
                <w:right w:val="none" w:sz="0" w:space="0" w:color="auto"/>
              </w:divBdr>
            </w:div>
            <w:div w:id="1550918714">
              <w:marLeft w:val="0"/>
              <w:marRight w:val="0"/>
              <w:marTop w:val="0"/>
              <w:marBottom w:val="0"/>
              <w:divBdr>
                <w:top w:val="none" w:sz="0" w:space="0" w:color="auto"/>
                <w:left w:val="none" w:sz="0" w:space="0" w:color="auto"/>
                <w:bottom w:val="none" w:sz="0" w:space="0" w:color="auto"/>
                <w:right w:val="none" w:sz="0" w:space="0" w:color="auto"/>
              </w:divBdr>
            </w:div>
            <w:div w:id="1624577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F98B2C61F4CAA429E24FA24580B6C6D" ma:contentTypeVersion="19" ma:contentTypeDescription="Create a new document." ma:contentTypeScope="" ma:versionID="3e725d38e157446409da543a48e0e021">
  <xsd:schema xmlns:xsd="http://www.w3.org/2001/XMLSchema" xmlns:xs="http://www.w3.org/2001/XMLSchema" xmlns:p="http://schemas.microsoft.com/office/2006/metadata/properties" xmlns:ns3="1ec8c5ab-6ea7-455a-99bb-bad7068bcc06" xmlns:ns4="ab2d28dd-6b2b-4726-b2c2-edc4d3419a58" targetNamespace="http://schemas.microsoft.com/office/2006/metadata/properties" ma:root="true" ma:fieldsID="db7e7a17f16506faf97eb0fd28b61848" ns3:_="" ns4:_="">
    <xsd:import namespace="1ec8c5ab-6ea7-455a-99bb-bad7068bcc06"/>
    <xsd:import namespace="ab2d28dd-6b2b-4726-b2c2-edc4d3419a5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ServiceLocation" minOccurs="0"/>
                <xsd:element ref="ns3:MediaServiceObjectDetectorVersions" minOccurs="0"/>
                <xsd:element ref="ns3:MediaLengthInSeconds" minOccurs="0"/>
                <xsd:element ref="ns3:_activity" minOccurs="0"/>
                <xsd:element ref="ns3:MediaServiceSystemTag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c8c5ab-6ea7-455a-99bb-bad7068bcc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_activity" ma:index="23" nillable="true" ma:displayName="_activity" ma:hidden="true" ma:internalName="_activity">
      <xsd:simpleType>
        <xsd:restriction base="dms:Note"/>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b2d28dd-6b2b-4726-b2c2-edc4d3419a5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1ec8c5ab-6ea7-455a-99bb-bad7068bcc0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B6840C-7E88-4986-B053-0FD4AD356C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c8c5ab-6ea7-455a-99bb-bad7068bcc06"/>
    <ds:schemaRef ds:uri="ab2d28dd-6b2b-4726-b2c2-edc4d3419a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8A8509A-3721-43E8-B1A8-F778FD5FE989}">
  <ds:schemaRefs>
    <ds:schemaRef ds:uri="http://schemas.microsoft.com/sharepoint/v3/contenttype/forms"/>
  </ds:schemaRefs>
</ds:datastoreItem>
</file>

<file path=customXml/itemProps3.xml><?xml version="1.0" encoding="utf-8"?>
<ds:datastoreItem xmlns:ds="http://schemas.openxmlformats.org/officeDocument/2006/customXml" ds:itemID="{D93BA0F5-C3A0-46D3-8E45-5F91423706ED}">
  <ds:schemaRefs>
    <ds:schemaRef ds:uri="http://schemas.microsoft.com/office/2006/metadata/properties"/>
    <ds:schemaRef ds:uri="http://schemas.microsoft.com/office/infopath/2007/PartnerControls"/>
    <ds:schemaRef ds:uri="1ec8c5ab-6ea7-455a-99bb-bad7068bcc06"/>
  </ds:schemaRefs>
</ds:datastoreItem>
</file>

<file path=customXml/itemProps4.xml><?xml version="1.0" encoding="utf-8"?>
<ds:datastoreItem xmlns:ds="http://schemas.openxmlformats.org/officeDocument/2006/customXml" ds:itemID="{DA0C4770-D2D0-44AF-A602-9C23F2C5CF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9</Pages>
  <Words>3185</Words>
  <Characters>17966</Characters>
  <Application>Microsoft Office Word</Application>
  <DocSecurity>0</DocSecurity>
  <Lines>359</Lines>
  <Paragraphs>127</Paragraphs>
  <ScaleCrop>false</ScaleCrop>
  <HeadingPairs>
    <vt:vector size="2" baseType="variant">
      <vt:variant>
        <vt:lpstr>Title</vt:lpstr>
      </vt:variant>
      <vt:variant>
        <vt:i4>1</vt:i4>
      </vt:variant>
    </vt:vector>
  </HeadingPairs>
  <TitlesOfParts>
    <vt:vector size="1" baseType="lpstr">
      <vt:lpstr> </vt:lpstr>
    </vt:vector>
  </TitlesOfParts>
  <Company>UVa Health System</Company>
  <LinksUpToDate>false</LinksUpToDate>
  <CharactersWithSpaces>21024</CharactersWithSpaces>
  <SharedDoc>false</SharedDoc>
  <HLinks>
    <vt:vector size="6" baseType="variant">
      <vt:variant>
        <vt:i4>4456450</vt:i4>
      </vt:variant>
      <vt:variant>
        <vt:i4>0</vt:i4>
      </vt:variant>
      <vt:variant>
        <vt:i4>0</vt:i4>
      </vt:variant>
      <vt:variant>
        <vt:i4>5</vt:i4>
      </vt:variant>
      <vt:variant>
        <vt:lpwstr>http://www.accme.org/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HS/CS</dc:creator>
  <cp:keywords/>
  <cp:lastModifiedBy>Hudson, Douglas S</cp:lastModifiedBy>
  <cp:revision>22</cp:revision>
  <cp:lastPrinted>2007-08-29T21:33:00Z</cp:lastPrinted>
  <dcterms:created xsi:type="dcterms:W3CDTF">2025-06-04T15:36:00Z</dcterms:created>
  <dcterms:modified xsi:type="dcterms:W3CDTF">2026-01-05T01:33:00Z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0x0101008F98B2C61F4CAA429E24FA24580B6C6D</vt:lpwstr>
  </property>
</Properties>
</file>