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BA262" w14:textId="1ADB2F9B" w:rsidR="00984477" w:rsidRPr="00444363" w:rsidRDefault="00103A0C" w:rsidP="00103A0C">
      <w:pPr>
        <w:jc w:val="center"/>
        <w:rPr>
          <w:b/>
          <w:bCs/>
        </w:rPr>
      </w:pPr>
      <w:r w:rsidRPr="00444363">
        <w:rPr>
          <w:b/>
          <w:bCs/>
        </w:rPr>
        <w:t>Rewriting Assignment</w:t>
      </w:r>
    </w:p>
    <w:p w14:paraId="65BE0DBF" w14:textId="47223A51" w:rsidR="00103A0C" w:rsidRDefault="00103A0C" w:rsidP="00103A0C">
      <w:pPr>
        <w:jc w:val="center"/>
      </w:pPr>
    </w:p>
    <w:p w14:paraId="07241EC7" w14:textId="54F24A00" w:rsidR="00103A0C" w:rsidRDefault="00103A0C" w:rsidP="00103A0C">
      <w:r>
        <w:t>Below, you will find two excerpts from published research articles. Each of these excerpts would benefit from some rewriting. Your job is to become a valued co-author and make these excerpts better. Aim for clarity but keep in mind that you may also be able to make them more concise. I suggest that you make at least 2-3 passes through each excerpt, rewriting once and then editing once or twice more. You may wish to cut and paste to a new document (or documents). After editing, check your word count.</w:t>
      </w:r>
    </w:p>
    <w:p w14:paraId="37388CCC" w14:textId="0F7E3166" w:rsidR="00103A0C" w:rsidRDefault="00103A0C" w:rsidP="00103A0C"/>
    <w:p w14:paraId="29CCA6AA" w14:textId="77777777" w:rsidR="00444363" w:rsidRDefault="00444363" w:rsidP="00103A0C">
      <w:pPr>
        <w:rPr>
          <w:b/>
          <w:bCs/>
        </w:rPr>
      </w:pPr>
    </w:p>
    <w:p w14:paraId="7739CDE0" w14:textId="64CD0F31" w:rsidR="00103A0C" w:rsidRPr="00444363" w:rsidRDefault="00103A0C" w:rsidP="00103A0C">
      <w:pPr>
        <w:rPr>
          <w:b/>
          <w:bCs/>
        </w:rPr>
      </w:pPr>
      <w:r w:rsidRPr="00444363">
        <w:rPr>
          <w:b/>
          <w:bCs/>
        </w:rPr>
        <w:t>Excerpt 1</w:t>
      </w:r>
    </w:p>
    <w:p w14:paraId="23BD60DB" w14:textId="33397E10" w:rsidR="00103A0C" w:rsidRDefault="00103A0C" w:rsidP="00103A0C"/>
    <w:p w14:paraId="672F3A1E" w14:textId="77777777" w:rsidR="00103A0C" w:rsidRPr="00103A0C" w:rsidRDefault="00103A0C" w:rsidP="00444363">
      <w:pPr>
        <w:spacing w:line="480" w:lineRule="auto"/>
        <w:ind w:firstLine="720"/>
        <w:rPr>
          <w:rFonts w:eastAsia="Calibri" w:cs="Arial"/>
        </w:rPr>
      </w:pPr>
      <w:r w:rsidRPr="00103A0C">
        <w:rPr>
          <w:rFonts w:eastAsia="Calibri" w:cs="Arial"/>
        </w:rPr>
        <w:t>In the 1990s, there were approximately 600,000 hysterectomies performed in the United States annually and 55% of these also involved bilateral salpingo-oophorectomy,</w:t>
      </w:r>
      <w:r w:rsidRPr="00103A0C">
        <w:rPr>
          <w:rFonts w:eastAsia="Calibri" w:cs="Arial"/>
          <w:vertAlign w:val="superscript"/>
        </w:rPr>
        <w:t>1</w:t>
      </w:r>
      <w:r w:rsidRPr="00103A0C">
        <w:rPr>
          <w:rFonts w:eastAsia="Calibri" w:cs="Arial"/>
        </w:rPr>
        <w:t xml:space="preserve"> many done solely to reduce the risk for ovarian cancer. It has been suggested that elective bilateral </w:t>
      </w:r>
      <w:proofErr w:type="spellStart"/>
      <w:r w:rsidRPr="00103A0C">
        <w:rPr>
          <w:rFonts w:eastAsia="Calibri" w:cs="Arial"/>
        </w:rPr>
        <w:t>salpingo</w:t>
      </w:r>
      <w:proofErr w:type="spellEnd"/>
      <w:r w:rsidRPr="00103A0C">
        <w:rPr>
          <w:rFonts w:eastAsia="Calibri" w:cs="Arial"/>
        </w:rPr>
        <w:t>-oophorectomy be considered for women older than 40 years,</w:t>
      </w:r>
      <w:r w:rsidRPr="00103A0C">
        <w:rPr>
          <w:rFonts w:eastAsia="Calibri" w:cs="Arial"/>
          <w:vertAlign w:val="superscript"/>
        </w:rPr>
        <w:t>2–4</w:t>
      </w:r>
      <w:r w:rsidRPr="00103A0C">
        <w:rPr>
          <w:rFonts w:eastAsia="Calibri" w:cs="Arial"/>
        </w:rPr>
        <w:t xml:space="preserve"> whereas surveys in the United Kingdom revealed that 85–90% of physicians recommended bilateral </w:t>
      </w:r>
      <w:proofErr w:type="spellStart"/>
      <w:r w:rsidRPr="00103A0C">
        <w:rPr>
          <w:rFonts w:eastAsia="Calibri" w:cs="Arial"/>
        </w:rPr>
        <w:t>salpingo</w:t>
      </w:r>
      <w:proofErr w:type="spellEnd"/>
      <w:r w:rsidRPr="00103A0C">
        <w:rPr>
          <w:rFonts w:eastAsia="Calibri" w:cs="Arial"/>
        </w:rPr>
        <w:t xml:space="preserve">-oophorectomy for postmenopausal women coming to hysterectomy. </w:t>
      </w:r>
      <w:r w:rsidRPr="00103A0C">
        <w:rPr>
          <w:rFonts w:eastAsia="Calibri" w:cs="Arial"/>
          <w:vertAlign w:val="superscript"/>
        </w:rPr>
        <w:t>5,6</w:t>
      </w:r>
      <w:r w:rsidRPr="00103A0C">
        <w:rPr>
          <w:rFonts w:eastAsia="Calibri" w:cs="Arial"/>
        </w:rPr>
        <w:t xml:space="preserve"> However, Parker et al,</w:t>
      </w:r>
      <w:r w:rsidRPr="00103A0C">
        <w:rPr>
          <w:rFonts w:eastAsia="Calibri" w:cs="Arial"/>
          <w:vertAlign w:val="superscript"/>
        </w:rPr>
        <w:t>7</w:t>
      </w:r>
      <w:r w:rsidRPr="00103A0C">
        <w:rPr>
          <w:rFonts w:eastAsia="Calibri" w:cs="Arial"/>
        </w:rPr>
        <w:t xml:space="preserve"> citing evidence that postmenopausal ovaries secrete androgens important to health, performed a risk–benefit analysis and concluded that ovarian conservation benefits long-term survival for women at “average risk” for ovarian cancer undergoing hysterectomy for benign disease. A subsequent study using observational data from the Nurses’ Health Study on all and various causes of mortality for hysterectomized women with and without oophorectomy supported their conclusion.</w:t>
      </w:r>
      <w:r w:rsidRPr="00103A0C">
        <w:rPr>
          <w:rFonts w:eastAsia="Calibri" w:cs="Arial"/>
          <w:vertAlign w:val="superscript"/>
        </w:rPr>
        <w:t>8</w:t>
      </w:r>
      <w:r w:rsidRPr="00103A0C">
        <w:rPr>
          <w:rFonts w:eastAsia="Calibri" w:cs="Arial"/>
        </w:rPr>
        <w:t xml:space="preserve"> </w:t>
      </w:r>
    </w:p>
    <w:p w14:paraId="19D5803F" w14:textId="23269AE4" w:rsidR="00103A0C" w:rsidRPr="00103A0C" w:rsidRDefault="00103A0C" w:rsidP="00444363">
      <w:pPr>
        <w:spacing w:line="480" w:lineRule="auto"/>
        <w:ind w:firstLine="720"/>
        <w:rPr>
          <w:rFonts w:eastAsia="Calibri" w:cs="Arial"/>
        </w:rPr>
      </w:pPr>
      <w:r w:rsidRPr="00103A0C">
        <w:rPr>
          <w:rFonts w:eastAsia="Calibri" w:cs="Arial"/>
        </w:rPr>
        <w:t xml:space="preserve">In addressing the value of bilateral </w:t>
      </w:r>
      <w:proofErr w:type="spellStart"/>
      <w:r w:rsidRPr="00103A0C">
        <w:rPr>
          <w:rFonts w:eastAsia="Calibri" w:cs="Arial"/>
        </w:rPr>
        <w:t>salpingo</w:t>
      </w:r>
      <w:proofErr w:type="spellEnd"/>
      <w:r>
        <w:rPr>
          <w:rFonts w:eastAsia="Calibri" w:cs="Arial"/>
        </w:rPr>
        <w:t>-</w:t>
      </w:r>
      <w:r w:rsidRPr="00103A0C">
        <w:rPr>
          <w:rFonts w:eastAsia="Calibri" w:cs="Arial"/>
        </w:rPr>
        <w:t xml:space="preserve">oophorectomy, Parker et al distinguished average-risk women from those with known </w:t>
      </w:r>
      <w:r w:rsidRPr="00103A0C">
        <w:rPr>
          <w:rFonts w:eastAsia="Calibri" w:cs="Arial"/>
          <w:i/>
          <w:iCs/>
        </w:rPr>
        <w:t xml:space="preserve">BRCA1 </w:t>
      </w:r>
      <w:r w:rsidRPr="00103A0C">
        <w:rPr>
          <w:rFonts w:eastAsia="Calibri" w:cs="Arial"/>
        </w:rPr>
        <w:t xml:space="preserve">or </w:t>
      </w:r>
      <w:r w:rsidRPr="00103A0C">
        <w:rPr>
          <w:rFonts w:eastAsia="Calibri" w:cs="Arial"/>
          <w:i/>
          <w:iCs/>
        </w:rPr>
        <w:t xml:space="preserve">BRCA2 </w:t>
      </w:r>
      <w:r w:rsidRPr="00103A0C">
        <w:rPr>
          <w:rFonts w:eastAsia="Calibri" w:cs="Arial"/>
        </w:rPr>
        <w:t xml:space="preserve">mutations or a strong family history of breast and ovarian cancer. In the latter group, bilateral </w:t>
      </w:r>
      <w:proofErr w:type="spellStart"/>
      <w:r w:rsidRPr="00103A0C">
        <w:rPr>
          <w:rFonts w:eastAsia="Calibri" w:cs="Arial"/>
        </w:rPr>
        <w:t>salpingo</w:t>
      </w:r>
      <w:proofErr w:type="spellEnd"/>
      <w:r>
        <w:rPr>
          <w:rFonts w:eastAsia="Calibri" w:cs="Arial"/>
        </w:rPr>
        <w:t>-</w:t>
      </w:r>
      <w:r w:rsidRPr="00103A0C">
        <w:rPr>
          <w:rFonts w:eastAsia="Calibri" w:cs="Arial"/>
        </w:rPr>
        <w:t>oophorectomy may truly be beneficial in reducing risk for both breast and ovarian cancer.</w:t>
      </w:r>
      <w:r w:rsidRPr="00103A0C">
        <w:rPr>
          <w:rFonts w:eastAsia="Calibri" w:cs="Arial"/>
          <w:vertAlign w:val="superscript"/>
        </w:rPr>
        <w:t>9</w:t>
      </w:r>
      <w:r w:rsidRPr="00103A0C">
        <w:rPr>
          <w:rFonts w:eastAsia="Calibri" w:cs="Arial"/>
        </w:rPr>
        <w:t xml:space="preserve"> Genetic or familial risk factors or both, however, account for a small proportion of ovarian cancer. Consequently, it is important to assess ovarian cancer risk among women who lack the genetic or familial profile. In this article, we describe a risk-factor score that may be of value in further categorizing risk for ovarian cancer in women without a personal or family history of cancer to provide additional guidance to women and their physicians regarding elective bilateral </w:t>
      </w:r>
      <w:proofErr w:type="spellStart"/>
      <w:r w:rsidRPr="00103A0C">
        <w:rPr>
          <w:rFonts w:eastAsia="Calibri" w:cs="Arial"/>
        </w:rPr>
        <w:t>salpingo</w:t>
      </w:r>
      <w:proofErr w:type="spellEnd"/>
      <w:r w:rsidRPr="00103A0C">
        <w:rPr>
          <w:rFonts w:eastAsia="Calibri" w:cs="Arial"/>
        </w:rPr>
        <w:t>-oophorectomy at the time of hysterectomy. (271 words)</w:t>
      </w:r>
    </w:p>
    <w:p w14:paraId="3FA5F0BF" w14:textId="68D810AF" w:rsidR="00444363" w:rsidRDefault="00444363">
      <w:r>
        <w:br w:type="page"/>
      </w:r>
    </w:p>
    <w:p w14:paraId="2CBF35FE" w14:textId="626B4AC2" w:rsidR="00444363" w:rsidRPr="00444363" w:rsidRDefault="00444363" w:rsidP="00444363">
      <w:pPr>
        <w:rPr>
          <w:b/>
          <w:bCs/>
        </w:rPr>
      </w:pPr>
      <w:r w:rsidRPr="00444363">
        <w:rPr>
          <w:b/>
          <w:bCs/>
        </w:rPr>
        <w:lastRenderedPageBreak/>
        <w:t xml:space="preserve">Excerpt </w:t>
      </w:r>
      <w:r>
        <w:rPr>
          <w:b/>
          <w:bCs/>
        </w:rPr>
        <w:t>2</w:t>
      </w:r>
    </w:p>
    <w:p w14:paraId="06F9DF4F" w14:textId="3AF8A06F" w:rsidR="00444363" w:rsidRDefault="00444363" w:rsidP="00103A0C"/>
    <w:p w14:paraId="6F2F87C8" w14:textId="0D78EC1C" w:rsidR="00444363" w:rsidRPr="00444363" w:rsidRDefault="00444363" w:rsidP="00444363">
      <w:pPr>
        <w:spacing w:line="480" w:lineRule="auto"/>
      </w:pPr>
      <w:r w:rsidRPr="00444363">
        <w:rPr>
          <w:rFonts w:cs="Arial"/>
        </w:rPr>
        <w:t xml:space="preserve">It remains unknown why only a small number of HTLV-I–infected individuals develop HAM/TSP, while </w:t>
      </w:r>
      <w:proofErr w:type="gramStart"/>
      <w:r w:rsidRPr="00444363">
        <w:rPr>
          <w:rFonts w:cs="Arial"/>
        </w:rPr>
        <w:t>the majority of</w:t>
      </w:r>
      <w:proofErr w:type="gramEnd"/>
      <w:r w:rsidRPr="00444363">
        <w:rPr>
          <w:rFonts w:cs="Arial"/>
        </w:rPr>
        <w:t xml:space="preserve"> the infected persons remain disease-free. It has been clearly demonstrated that elevated HTLV-I proviral loads increase the risk of HAM/TSP development [</w:t>
      </w:r>
      <w:hyperlink r:id="rId4" w:anchor="ref-7" w:history="1">
        <w:r w:rsidRPr="00444363">
          <w:rPr>
            <w:rStyle w:val="Hyperlink"/>
            <w:rFonts w:cs="Arial"/>
            <w:color w:val="auto"/>
            <w:u w:val="none"/>
          </w:rPr>
          <w:t>7</w:t>
        </w:r>
      </w:hyperlink>
      <w:r w:rsidRPr="00444363">
        <w:rPr>
          <w:rFonts w:cs="Arial"/>
        </w:rPr>
        <w:t xml:space="preserve">, </w:t>
      </w:r>
      <w:hyperlink r:id="rId5" w:anchor="ref-22" w:history="1">
        <w:r w:rsidRPr="00444363">
          <w:rPr>
            <w:rStyle w:val="Hyperlink"/>
            <w:rFonts w:cs="Arial"/>
            <w:color w:val="auto"/>
            <w:u w:val="none"/>
          </w:rPr>
          <w:t>22</w:t>
        </w:r>
      </w:hyperlink>
      <w:r w:rsidRPr="00444363">
        <w:rPr>
          <w:rFonts w:cs="Arial"/>
        </w:rPr>
        <w:t>]. In addition, HAM/TSP patients have more HTLV-I–specific CTLs than do asymptomatic carriers [</w:t>
      </w:r>
      <w:hyperlink r:id="rId6" w:anchor="ref-8" w:history="1">
        <w:r w:rsidRPr="00444363">
          <w:rPr>
            <w:rStyle w:val="Hyperlink"/>
            <w:rFonts w:cs="Arial"/>
            <w:color w:val="auto"/>
            <w:u w:val="none"/>
          </w:rPr>
          <w:t>8</w:t>
        </w:r>
      </w:hyperlink>
      <w:r w:rsidRPr="00444363">
        <w:rPr>
          <w:rFonts w:cs="Arial"/>
        </w:rPr>
        <w:t xml:space="preserve">, </w:t>
      </w:r>
      <w:hyperlink r:id="rId7" w:anchor="ref-23" w:history="1">
        <w:r w:rsidRPr="00444363">
          <w:rPr>
            <w:rStyle w:val="Hyperlink"/>
            <w:rFonts w:cs="Arial"/>
            <w:color w:val="auto"/>
            <w:u w:val="none"/>
          </w:rPr>
          <w:t>23</w:t>
        </w:r>
      </w:hyperlink>
      <w:r w:rsidRPr="00444363">
        <w:rPr>
          <w:rFonts w:cs="Arial"/>
        </w:rPr>
        <w:t>]. Recently, it has been postulated that CTLs in HAM/TSP patients have impaired function in association with degranulation of cytolytic molecules as compared with CTLs in asymptomatic carriers, which may result in an insufficient control of the virus [</w:t>
      </w:r>
      <w:hyperlink r:id="rId8" w:anchor="ref-24" w:history="1">
        <w:r w:rsidRPr="00444363">
          <w:rPr>
            <w:rStyle w:val="Hyperlink"/>
            <w:rFonts w:cs="Arial"/>
            <w:color w:val="auto"/>
            <w:u w:val="none"/>
          </w:rPr>
          <w:t>24</w:t>
        </w:r>
      </w:hyperlink>
      <w:r w:rsidRPr="00444363">
        <w:rPr>
          <w:rFonts w:cs="Arial"/>
        </w:rPr>
        <w:t>]. However, it remains unclear whether CTL function is impaired in HAM/TSP patients. (106 words)</w:t>
      </w:r>
    </w:p>
    <w:sectPr w:rsidR="00444363" w:rsidRPr="00444363" w:rsidSect="005E593A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A0C"/>
    <w:rsid w:val="00103A0C"/>
    <w:rsid w:val="00444363"/>
    <w:rsid w:val="005E593A"/>
    <w:rsid w:val="00984477"/>
    <w:rsid w:val="009D2C51"/>
    <w:rsid w:val="00AD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C47C2"/>
  <w15:chartTrackingRefBased/>
  <w15:docId w15:val="{EF542618-48F4-415F-9861-0F676F7ED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4443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id.oxfordjournals.org/content/203/7/948.ful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jid.oxfordjournals.org/content/203/7/948.ful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jid.oxfordjournals.org/content/203/7/948.full" TargetMode="External"/><Relationship Id="rId5" Type="http://schemas.openxmlformats.org/officeDocument/2006/relationships/hyperlink" Target="http://jid.oxfordjournals.org/content/203/7/948.ful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jid.oxfordjournals.org/content/203/7/948.ful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Bill</dc:creator>
  <cp:keywords/>
  <dc:description/>
  <cp:lastModifiedBy>Miller, William C</cp:lastModifiedBy>
  <cp:revision>2</cp:revision>
  <dcterms:created xsi:type="dcterms:W3CDTF">2024-01-08T18:20:00Z</dcterms:created>
  <dcterms:modified xsi:type="dcterms:W3CDTF">2024-01-08T18:20:00Z</dcterms:modified>
</cp:coreProperties>
</file>