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0C10" w14:textId="77777777" w:rsidR="0082160F" w:rsidRPr="0082160F" w:rsidRDefault="0082160F" w:rsidP="0082160F">
      <w:pPr>
        <w:spacing w:line="480" w:lineRule="auto"/>
        <w:rPr>
          <w:rFonts w:ascii="Arial" w:hAnsi="Arial" w:cs="Arial"/>
        </w:rPr>
      </w:pPr>
      <w:r w:rsidRPr="0082160F">
        <w:rPr>
          <w:rFonts w:ascii="Arial" w:hAnsi="Arial" w:cs="Arial"/>
        </w:rPr>
        <w:t xml:space="preserve">Exercise </w:t>
      </w:r>
      <w:r w:rsidR="00BA0D17">
        <w:rPr>
          <w:rFonts w:ascii="Arial" w:hAnsi="Arial" w:cs="Arial"/>
        </w:rPr>
        <w:t>2</w:t>
      </w:r>
    </w:p>
    <w:p w14:paraId="3D7B9DAD" w14:textId="632B9E65" w:rsidR="0082160F" w:rsidRPr="0082160F" w:rsidRDefault="0082160F" w:rsidP="00293ED4">
      <w:pPr>
        <w:spacing w:line="360" w:lineRule="auto"/>
        <w:rPr>
          <w:rFonts w:ascii="Arial" w:hAnsi="Arial" w:cs="Arial"/>
        </w:rPr>
      </w:pPr>
      <w:r w:rsidRPr="0082160F">
        <w:rPr>
          <w:rFonts w:ascii="Arial" w:hAnsi="Arial" w:cs="Arial"/>
        </w:rPr>
        <w:t>It remains unknown why only a small number of HTLV-I–infected individuals develop HAM/TSP, while the majority of the infected persons remain disease-free. It has been clearly demonstrated that elevated HTLV-I proviral loads increase the risk of HAM/TSP development [</w:t>
      </w:r>
      <w:hyperlink r:id="rId4" w:anchor="ref-7" w:history="1">
        <w:r w:rsidRPr="0082160F">
          <w:rPr>
            <w:rStyle w:val="Hyperlink"/>
            <w:rFonts w:ascii="Arial" w:hAnsi="Arial" w:cs="Arial"/>
          </w:rPr>
          <w:t>7</w:t>
        </w:r>
      </w:hyperlink>
      <w:r w:rsidRPr="0082160F">
        <w:rPr>
          <w:rFonts w:ascii="Arial" w:hAnsi="Arial" w:cs="Arial"/>
        </w:rPr>
        <w:t xml:space="preserve">, </w:t>
      </w:r>
      <w:hyperlink r:id="rId5" w:anchor="ref-22" w:history="1">
        <w:r w:rsidRPr="0082160F">
          <w:rPr>
            <w:rStyle w:val="Hyperlink"/>
            <w:rFonts w:ascii="Arial" w:hAnsi="Arial" w:cs="Arial"/>
          </w:rPr>
          <w:t>22</w:t>
        </w:r>
      </w:hyperlink>
      <w:r w:rsidRPr="0082160F">
        <w:rPr>
          <w:rFonts w:ascii="Arial" w:hAnsi="Arial" w:cs="Arial"/>
        </w:rPr>
        <w:t>]. In addition, HAM/TSP patients have more HTLV-I–specific CTLs than do asymptomatic carriers [</w:t>
      </w:r>
      <w:hyperlink r:id="rId6" w:anchor="ref-8" w:history="1">
        <w:r w:rsidRPr="0082160F">
          <w:rPr>
            <w:rStyle w:val="Hyperlink"/>
            <w:rFonts w:ascii="Arial" w:hAnsi="Arial" w:cs="Arial"/>
          </w:rPr>
          <w:t>8</w:t>
        </w:r>
      </w:hyperlink>
      <w:r w:rsidRPr="0082160F">
        <w:rPr>
          <w:rFonts w:ascii="Arial" w:hAnsi="Arial" w:cs="Arial"/>
        </w:rPr>
        <w:t xml:space="preserve">, </w:t>
      </w:r>
      <w:hyperlink r:id="rId7" w:anchor="ref-23" w:history="1">
        <w:r w:rsidRPr="0082160F">
          <w:rPr>
            <w:rStyle w:val="Hyperlink"/>
            <w:rFonts w:ascii="Arial" w:hAnsi="Arial" w:cs="Arial"/>
          </w:rPr>
          <w:t>23</w:t>
        </w:r>
      </w:hyperlink>
      <w:r w:rsidRPr="0082160F">
        <w:rPr>
          <w:rFonts w:ascii="Arial" w:hAnsi="Arial" w:cs="Arial"/>
        </w:rPr>
        <w:t>]. Recently, it has been postulated that CTLs in HAM/TSP patients have impaired function in association with degranulation of cytolytic molecules as compared with CTLs in asymptomatic carriers, which may result in an insufficient control of the virus [</w:t>
      </w:r>
      <w:hyperlink r:id="rId8" w:anchor="ref-24" w:history="1">
        <w:r w:rsidRPr="0082160F">
          <w:rPr>
            <w:rStyle w:val="Hyperlink"/>
            <w:rFonts w:ascii="Arial" w:hAnsi="Arial" w:cs="Arial"/>
          </w:rPr>
          <w:t>24</w:t>
        </w:r>
      </w:hyperlink>
      <w:r w:rsidRPr="0082160F">
        <w:rPr>
          <w:rFonts w:ascii="Arial" w:hAnsi="Arial" w:cs="Arial"/>
        </w:rPr>
        <w:t>]. However, it remains unclear whether CTL function is impaired in HAM/TSP patients.</w:t>
      </w:r>
      <w:r w:rsidR="00503639">
        <w:rPr>
          <w:rFonts w:ascii="Arial" w:hAnsi="Arial" w:cs="Arial"/>
        </w:rPr>
        <w:t xml:space="preserve"> (106 words)</w:t>
      </w:r>
    </w:p>
    <w:p w14:paraId="4A5CC3D9" w14:textId="77777777" w:rsidR="0082160F" w:rsidRDefault="0082160F" w:rsidP="00B741FF">
      <w:pPr>
        <w:spacing w:after="0" w:line="240" w:lineRule="auto"/>
        <w:rPr>
          <w:rFonts w:ascii="Arial" w:hAnsi="Arial" w:cs="Arial"/>
        </w:rPr>
      </w:pPr>
    </w:p>
    <w:p w14:paraId="63D2390A" w14:textId="77777777" w:rsidR="00172477" w:rsidRDefault="00172477" w:rsidP="00172477">
      <w:pPr>
        <w:spacing w:after="0" w:line="360" w:lineRule="auto"/>
        <w:rPr>
          <w:rFonts w:ascii="Arial" w:hAnsi="Arial" w:cs="Arial"/>
        </w:rPr>
      </w:pPr>
      <w:proofErr w:type="gramStart"/>
      <w:r w:rsidRPr="0082160F">
        <w:rPr>
          <w:rFonts w:ascii="Arial" w:hAnsi="Arial" w:cs="Arial"/>
        </w:rPr>
        <w:t>only</w:t>
      </w:r>
      <w:proofErr w:type="gramEnd"/>
      <w:r w:rsidRPr="0082160F">
        <w:rPr>
          <w:rFonts w:ascii="Arial" w:hAnsi="Arial" w:cs="Arial"/>
        </w:rPr>
        <w:t xml:space="preserve"> a small number of HTLV-I–infected individuals develop HAM/TSP, while </w:t>
      </w:r>
      <w:proofErr w:type="gramStart"/>
      <w:r w:rsidRPr="0082160F">
        <w:rPr>
          <w:rFonts w:ascii="Arial" w:hAnsi="Arial" w:cs="Arial"/>
        </w:rPr>
        <w:t>the majority of</w:t>
      </w:r>
      <w:proofErr w:type="gramEnd"/>
      <w:r w:rsidRPr="0082160F">
        <w:rPr>
          <w:rFonts w:ascii="Arial" w:hAnsi="Arial" w:cs="Arial"/>
        </w:rPr>
        <w:t xml:space="preserve"> the infected persons remain disease-free</w:t>
      </w:r>
      <w:r>
        <w:rPr>
          <w:rFonts w:ascii="Arial" w:hAnsi="Arial" w:cs="Arial"/>
        </w:rPr>
        <w:t xml:space="preserve"> (unknown)</w:t>
      </w:r>
      <w:r w:rsidRPr="0082160F">
        <w:rPr>
          <w:rFonts w:ascii="Arial" w:hAnsi="Arial" w:cs="Arial"/>
        </w:rPr>
        <w:t>. elevated HTLV-I proviral loads increase the risk of HAM/TSP development [</w:t>
      </w:r>
      <w:hyperlink r:id="rId9" w:anchor="ref-7" w:history="1">
        <w:r w:rsidRPr="0082160F">
          <w:rPr>
            <w:rStyle w:val="Hyperlink"/>
            <w:rFonts w:ascii="Arial" w:hAnsi="Arial" w:cs="Arial"/>
          </w:rPr>
          <w:t>7</w:t>
        </w:r>
      </w:hyperlink>
      <w:r w:rsidRPr="0082160F">
        <w:rPr>
          <w:rFonts w:ascii="Arial" w:hAnsi="Arial" w:cs="Arial"/>
        </w:rPr>
        <w:t xml:space="preserve">, </w:t>
      </w:r>
      <w:hyperlink r:id="rId10" w:anchor="ref-22" w:history="1">
        <w:r w:rsidRPr="0082160F">
          <w:rPr>
            <w:rStyle w:val="Hyperlink"/>
            <w:rFonts w:ascii="Arial" w:hAnsi="Arial" w:cs="Arial"/>
          </w:rPr>
          <w:t>22</w:t>
        </w:r>
      </w:hyperlink>
      <w:r w:rsidRPr="0082160F">
        <w:rPr>
          <w:rFonts w:ascii="Arial" w:hAnsi="Arial" w:cs="Arial"/>
        </w:rPr>
        <w:t>]. HAM/TSP patients have more HTLV-I–specific CTLs than do asymptomatic carriers [</w:t>
      </w:r>
      <w:hyperlink r:id="rId11" w:anchor="ref-8" w:history="1">
        <w:r w:rsidRPr="0082160F">
          <w:rPr>
            <w:rStyle w:val="Hyperlink"/>
            <w:rFonts w:ascii="Arial" w:hAnsi="Arial" w:cs="Arial"/>
          </w:rPr>
          <w:t>8</w:t>
        </w:r>
      </w:hyperlink>
      <w:r w:rsidRPr="0082160F">
        <w:rPr>
          <w:rFonts w:ascii="Arial" w:hAnsi="Arial" w:cs="Arial"/>
        </w:rPr>
        <w:t xml:space="preserve">, </w:t>
      </w:r>
      <w:hyperlink r:id="rId12" w:anchor="ref-23" w:history="1">
        <w:r w:rsidRPr="0082160F">
          <w:rPr>
            <w:rStyle w:val="Hyperlink"/>
            <w:rFonts w:ascii="Arial" w:hAnsi="Arial" w:cs="Arial"/>
          </w:rPr>
          <w:t>23</w:t>
        </w:r>
      </w:hyperlink>
      <w:r w:rsidRPr="0082160F">
        <w:rPr>
          <w:rFonts w:ascii="Arial" w:hAnsi="Arial" w:cs="Arial"/>
        </w:rPr>
        <w:t xml:space="preserve">]. CTLs in HAM/TSP patients </w:t>
      </w:r>
      <w:r>
        <w:rPr>
          <w:rFonts w:ascii="Arial" w:hAnsi="Arial" w:cs="Arial"/>
        </w:rPr>
        <w:t xml:space="preserve">postulated to </w:t>
      </w:r>
      <w:r w:rsidRPr="0082160F">
        <w:rPr>
          <w:rFonts w:ascii="Arial" w:hAnsi="Arial" w:cs="Arial"/>
        </w:rPr>
        <w:t>have impaired function in association with degranulation of cytolytic molecules as compared with CTLs in asymptomatic carriers, which may result in an insufficient control of the virus [</w:t>
      </w:r>
      <w:hyperlink r:id="rId13" w:anchor="ref-24" w:history="1">
        <w:r w:rsidRPr="0082160F">
          <w:rPr>
            <w:rStyle w:val="Hyperlink"/>
            <w:rFonts w:ascii="Arial" w:hAnsi="Arial" w:cs="Arial"/>
          </w:rPr>
          <w:t>24</w:t>
        </w:r>
      </w:hyperlink>
      <w:r w:rsidRPr="0082160F">
        <w:rPr>
          <w:rFonts w:ascii="Arial" w:hAnsi="Arial" w:cs="Arial"/>
        </w:rPr>
        <w:t>]. CTL function is impaired in HAM/TSP patients</w:t>
      </w:r>
      <w:r>
        <w:rPr>
          <w:rFonts w:ascii="Arial" w:hAnsi="Arial" w:cs="Arial"/>
        </w:rPr>
        <w:t xml:space="preserve"> (unclear)</w:t>
      </w:r>
      <w:r w:rsidRPr="0082160F">
        <w:rPr>
          <w:rFonts w:ascii="Arial" w:hAnsi="Arial" w:cs="Arial"/>
        </w:rPr>
        <w:t>.</w:t>
      </w:r>
    </w:p>
    <w:p w14:paraId="12E33357" w14:textId="77777777" w:rsidR="00172477" w:rsidRDefault="00172477" w:rsidP="00172477">
      <w:pPr>
        <w:spacing w:after="0" w:line="360" w:lineRule="auto"/>
        <w:rPr>
          <w:rFonts w:ascii="Arial" w:hAnsi="Arial" w:cs="Arial"/>
        </w:rPr>
      </w:pPr>
    </w:p>
    <w:p w14:paraId="31354A00" w14:textId="759CDD80" w:rsidR="00A46092" w:rsidRDefault="00172477" w:rsidP="001724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mechanisms underlying progression of HTLV-I infection to its most severe form, HAM/TSP, are unknown. Persons with HAM/TSP have higher proviral loads </w:t>
      </w:r>
      <w:r w:rsidR="00A46092">
        <w:rPr>
          <w:rFonts w:ascii="Arial" w:hAnsi="Arial" w:cs="Arial"/>
        </w:rPr>
        <w:t xml:space="preserve">and more HTLV-I-specific cytotoxic lymphocytes (CTL) </w:t>
      </w:r>
      <w:r>
        <w:rPr>
          <w:rFonts w:ascii="Arial" w:hAnsi="Arial" w:cs="Arial"/>
        </w:rPr>
        <w:t>than asymptomatic</w:t>
      </w:r>
      <w:r w:rsidR="00A46092">
        <w:rPr>
          <w:rFonts w:ascii="Arial" w:hAnsi="Arial" w:cs="Arial"/>
        </w:rPr>
        <w:t>ally</w:t>
      </w:r>
      <w:r>
        <w:rPr>
          <w:rFonts w:ascii="Arial" w:hAnsi="Arial" w:cs="Arial"/>
        </w:rPr>
        <w:t xml:space="preserve"> infect</w:t>
      </w:r>
      <w:r w:rsidR="00A46092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</w:t>
      </w:r>
      <w:r w:rsidR="00A46092">
        <w:rPr>
          <w:rFonts w:ascii="Arial" w:hAnsi="Arial" w:cs="Arial"/>
        </w:rPr>
        <w:t>persons</w:t>
      </w:r>
      <w:r>
        <w:rPr>
          <w:rFonts w:ascii="Arial" w:hAnsi="Arial" w:cs="Arial"/>
        </w:rPr>
        <w:t xml:space="preserve">. </w:t>
      </w:r>
      <w:r w:rsidR="00503639">
        <w:rPr>
          <w:rFonts w:ascii="Arial" w:hAnsi="Arial" w:cs="Arial"/>
        </w:rPr>
        <w:t>W</w:t>
      </w:r>
      <w:r w:rsidR="00A46092">
        <w:rPr>
          <w:rFonts w:ascii="Arial" w:hAnsi="Arial" w:cs="Arial"/>
        </w:rPr>
        <w:t xml:space="preserve">e hypothesize that these </w:t>
      </w:r>
      <w:r>
        <w:rPr>
          <w:rFonts w:ascii="Arial" w:hAnsi="Arial" w:cs="Arial"/>
        </w:rPr>
        <w:t>CTL</w:t>
      </w:r>
      <w:r w:rsidR="00A46092">
        <w:rPr>
          <w:rFonts w:ascii="Arial" w:hAnsi="Arial" w:cs="Arial"/>
        </w:rPr>
        <w:t xml:space="preserve"> may</w:t>
      </w:r>
      <w:r>
        <w:rPr>
          <w:rFonts w:ascii="Arial" w:hAnsi="Arial" w:cs="Arial"/>
        </w:rPr>
        <w:t xml:space="preserve"> be impaired</w:t>
      </w:r>
      <w:r w:rsidR="00503639">
        <w:rPr>
          <w:rFonts w:ascii="Arial" w:hAnsi="Arial" w:cs="Arial"/>
        </w:rPr>
        <w:t xml:space="preserve"> functionally</w:t>
      </w:r>
      <w:r>
        <w:rPr>
          <w:rFonts w:ascii="Arial" w:hAnsi="Arial" w:cs="Arial"/>
        </w:rPr>
        <w:t>,</w:t>
      </w:r>
      <w:r w:rsidR="00A46092">
        <w:rPr>
          <w:rFonts w:ascii="Arial" w:hAnsi="Arial" w:cs="Arial"/>
        </w:rPr>
        <w:t xml:space="preserve"> </w:t>
      </w:r>
      <w:r w:rsidR="00503639">
        <w:rPr>
          <w:rFonts w:ascii="Arial" w:hAnsi="Arial" w:cs="Arial"/>
        </w:rPr>
        <w:t>especially</w:t>
      </w:r>
      <w:r w:rsidR="00A46092">
        <w:rPr>
          <w:rFonts w:ascii="Arial" w:hAnsi="Arial" w:cs="Arial"/>
        </w:rPr>
        <w:t xml:space="preserve"> </w:t>
      </w:r>
      <w:r w:rsidR="00503639">
        <w:rPr>
          <w:rFonts w:ascii="Arial" w:hAnsi="Arial" w:cs="Arial"/>
        </w:rPr>
        <w:t>the</w:t>
      </w:r>
      <w:r w:rsidR="00A46092">
        <w:rPr>
          <w:rFonts w:ascii="Arial" w:hAnsi="Arial" w:cs="Arial"/>
        </w:rPr>
        <w:t xml:space="preserve"> degranulation of cytolytic molecules. This impairment </w:t>
      </w:r>
      <w:r w:rsidR="00503639">
        <w:rPr>
          <w:rFonts w:ascii="Arial" w:hAnsi="Arial" w:cs="Arial"/>
        </w:rPr>
        <w:t>may cause</w:t>
      </w:r>
      <w:r w:rsidR="00A46092">
        <w:rPr>
          <w:rFonts w:ascii="Arial" w:hAnsi="Arial" w:cs="Arial"/>
        </w:rPr>
        <w:t xml:space="preserve"> insufficient viral suppression.</w:t>
      </w:r>
      <w:r w:rsidR="00503639">
        <w:rPr>
          <w:rFonts w:ascii="Arial" w:hAnsi="Arial" w:cs="Arial"/>
        </w:rPr>
        <w:t xml:space="preserve"> (54 words)</w:t>
      </w:r>
    </w:p>
    <w:p w14:paraId="6464C115" w14:textId="77777777" w:rsidR="00172477" w:rsidRDefault="00172477" w:rsidP="001724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502FBA" w14:textId="77777777" w:rsidR="00172477" w:rsidRPr="0082160F" w:rsidRDefault="00172477" w:rsidP="00172477">
      <w:pPr>
        <w:spacing w:after="0" w:line="360" w:lineRule="auto"/>
        <w:rPr>
          <w:rFonts w:ascii="Arial" w:hAnsi="Arial" w:cs="Arial"/>
        </w:rPr>
      </w:pPr>
    </w:p>
    <w:sectPr w:rsidR="00172477" w:rsidRPr="0082160F" w:rsidSect="0082160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0F"/>
    <w:rsid w:val="00076900"/>
    <w:rsid w:val="00172477"/>
    <w:rsid w:val="002745F6"/>
    <w:rsid w:val="00293ED4"/>
    <w:rsid w:val="003018F1"/>
    <w:rsid w:val="0031767F"/>
    <w:rsid w:val="003F5265"/>
    <w:rsid w:val="00484B1B"/>
    <w:rsid w:val="00503639"/>
    <w:rsid w:val="0082160F"/>
    <w:rsid w:val="00A46092"/>
    <w:rsid w:val="00A7085E"/>
    <w:rsid w:val="00B741FF"/>
    <w:rsid w:val="00BA0D17"/>
    <w:rsid w:val="00C9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7CCFE"/>
  <w15:docId w15:val="{81F08049-7DE2-45A2-AB33-B707E69F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21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d.oxfordjournals.org/content/203/7/948.full" TargetMode="External"/><Relationship Id="rId13" Type="http://schemas.openxmlformats.org/officeDocument/2006/relationships/hyperlink" Target="http://jid.oxfordjournals.org/content/203/7/948.fu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id.oxfordjournals.org/content/203/7/948.full" TargetMode="External"/><Relationship Id="rId12" Type="http://schemas.openxmlformats.org/officeDocument/2006/relationships/hyperlink" Target="http://jid.oxfordjournals.org/content/203/7/948.ful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id.oxfordjournals.org/content/203/7/948.full" TargetMode="External"/><Relationship Id="rId11" Type="http://schemas.openxmlformats.org/officeDocument/2006/relationships/hyperlink" Target="http://jid.oxfordjournals.org/content/203/7/948.full" TargetMode="External"/><Relationship Id="rId5" Type="http://schemas.openxmlformats.org/officeDocument/2006/relationships/hyperlink" Target="http://jid.oxfordjournals.org/content/203/7/948.ful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jid.oxfordjournals.org/content/203/7/948.full" TargetMode="External"/><Relationship Id="rId4" Type="http://schemas.openxmlformats.org/officeDocument/2006/relationships/hyperlink" Target="http://jid.oxfordjournals.org/content/203/7/948.full" TargetMode="External"/><Relationship Id="rId9" Type="http://schemas.openxmlformats.org/officeDocument/2006/relationships/hyperlink" Target="http://jid.oxfordjournals.org/content/203/7/948.ful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2553</CharactersWithSpaces>
  <SharedDoc>false</SharedDoc>
  <HLinks>
    <vt:vector size="60" baseType="variant">
      <vt:variant>
        <vt:i4>2424893</vt:i4>
      </vt:variant>
      <vt:variant>
        <vt:i4>27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ref-24</vt:lpwstr>
      </vt:variant>
      <vt:variant>
        <vt:i4>2228285</vt:i4>
      </vt:variant>
      <vt:variant>
        <vt:i4>24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ref-23</vt:lpwstr>
      </vt:variant>
      <vt:variant>
        <vt:i4>1114127</vt:i4>
      </vt:variant>
      <vt:variant>
        <vt:i4>21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ref-8</vt:lpwstr>
      </vt:variant>
      <vt:variant>
        <vt:i4>2293821</vt:i4>
      </vt:variant>
      <vt:variant>
        <vt:i4>18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ref-22</vt:lpwstr>
      </vt:variant>
      <vt:variant>
        <vt:i4>1114127</vt:i4>
      </vt:variant>
      <vt:variant>
        <vt:i4>15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ref-7</vt:lpwstr>
      </vt:variant>
      <vt:variant>
        <vt:i4>2424893</vt:i4>
      </vt:variant>
      <vt:variant>
        <vt:i4>12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ref-24</vt:lpwstr>
      </vt:variant>
      <vt:variant>
        <vt:i4>2228285</vt:i4>
      </vt:variant>
      <vt:variant>
        <vt:i4>9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ref-23</vt:lpwstr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ref-8</vt:lpwstr>
      </vt:variant>
      <vt:variant>
        <vt:i4>2293821</vt:i4>
      </vt:variant>
      <vt:variant>
        <vt:i4>3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ref-22</vt:lpwstr>
      </vt:variant>
      <vt:variant>
        <vt:i4>1114127</vt:i4>
      </vt:variant>
      <vt:variant>
        <vt:i4>0</vt:i4>
      </vt:variant>
      <vt:variant>
        <vt:i4>0</vt:i4>
      </vt:variant>
      <vt:variant>
        <vt:i4>5</vt:i4>
      </vt:variant>
      <vt:variant>
        <vt:lpwstr>http://jid.oxfordjournals.org/content/203/7/948.full</vt:lpwstr>
      </vt:variant>
      <vt:variant>
        <vt:lpwstr>ref-7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Miller</dc:creator>
  <cp:lastModifiedBy>Miller, William C</cp:lastModifiedBy>
  <cp:revision>2</cp:revision>
  <dcterms:created xsi:type="dcterms:W3CDTF">2024-01-08T18:22:00Z</dcterms:created>
  <dcterms:modified xsi:type="dcterms:W3CDTF">2024-01-08T18:22:00Z</dcterms:modified>
</cp:coreProperties>
</file>