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C956" w14:textId="6D341055" w:rsidR="004F6F72" w:rsidRDefault="00713F15" w:rsidP="00713F15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SUBOXONE </w:t>
      </w:r>
      <w:r w:rsidR="004F6F72" w:rsidRPr="00B95242">
        <w:rPr>
          <w:b/>
          <w:szCs w:val="24"/>
        </w:rPr>
        <w:t>INDUCTION</w:t>
      </w:r>
      <w:r>
        <w:rPr>
          <w:b/>
          <w:szCs w:val="24"/>
        </w:rPr>
        <w:t xml:space="preserve"> PROTOCOL</w:t>
      </w:r>
      <w:r w:rsidR="004F6F72">
        <w:rPr>
          <w:b/>
          <w:szCs w:val="24"/>
        </w:rPr>
        <w:t>:</w:t>
      </w:r>
    </w:p>
    <w:p w14:paraId="0151D663" w14:textId="3B9A4FAF" w:rsidR="004F6F72" w:rsidRDefault="004F6F72" w:rsidP="004F6F72">
      <w:pPr>
        <w:ind w:left="360"/>
        <w:rPr>
          <w:b/>
          <w:szCs w:val="24"/>
        </w:rPr>
      </w:pPr>
    </w:p>
    <w:p w14:paraId="1B9EEBCE" w14:textId="19B57FB1" w:rsidR="004F6F72" w:rsidRDefault="004F6F72" w:rsidP="004F6F72">
      <w:pPr>
        <w:autoSpaceDE w:val="0"/>
        <w:autoSpaceDN w:val="0"/>
        <w:adjustRightInd w:val="0"/>
        <w:rPr>
          <w:rFonts w:eastAsiaTheme="minorHAnsi"/>
          <w:szCs w:val="24"/>
        </w:rPr>
      </w:pPr>
      <w:r w:rsidRPr="004F6F72">
        <w:rPr>
          <w:rFonts w:eastAsiaTheme="minorHAnsi"/>
          <w:szCs w:val="24"/>
        </w:rPr>
        <w:t>KEY POINTS</w:t>
      </w:r>
    </w:p>
    <w:p w14:paraId="62F07247" w14:textId="77777777" w:rsidR="004F6F72" w:rsidRPr="004F6F72" w:rsidRDefault="004F6F72" w:rsidP="004F6F72">
      <w:pPr>
        <w:autoSpaceDE w:val="0"/>
        <w:autoSpaceDN w:val="0"/>
        <w:adjustRightInd w:val="0"/>
        <w:rPr>
          <w:rFonts w:eastAsiaTheme="minorHAnsi"/>
          <w:szCs w:val="24"/>
        </w:rPr>
      </w:pPr>
    </w:p>
    <w:p w14:paraId="312F1AB8" w14:textId="74410D5C" w:rsidR="004F6F72" w:rsidRPr="00713F15" w:rsidRDefault="004F6F72" w:rsidP="00713F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713F15">
        <w:rPr>
          <w:rFonts w:eastAsiaTheme="minorHAnsi"/>
          <w:szCs w:val="24"/>
        </w:rPr>
        <w:t>The goal of induction is to safely suppress opioid withdrawal as rapidly as possible with adequate doses of Suboxone</w:t>
      </w:r>
      <w:r w:rsidR="00713F15" w:rsidRPr="00713F15">
        <w:rPr>
          <w:rFonts w:eastAsiaTheme="minorHAnsi"/>
          <w:szCs w:val="24"/>
        </w:rPr>
        <w:t xml:space="preserve"> </w:t>
      </w:r>
      <w:r w:rsidRPr="00713F15">
        <w:rPr>
          <w:rFonts w:eastAsiaTheme="minorHAnsi"/>
          <w:szCs w:val="24"/>
        </w:rPr>
        <w:t>(buprenorphine HCl/naloxone HCI dihydrate) or Subutex (buprenorphine HCl) sublingual tablets</w:t>
      </w:r>
    </w:p>
    <w:p w14:paraId="2A6B8E85" w14:textId="184CF614" w:rsidR="004F6F72" w:rsidRPr="00713F15" w:rsidRDefault="004F6F72" w:rsidP="00713F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713F15">
        <w:rPr>
          <w:rFonts w:eastAsiaTheme="minorHAnsi"/>
          <w:szCs w:val="24"/>
        </w:rPr>
        <w:t>The goal of maintenance is to prevent the emergence of opioid withdrawal symptoms, suppress the patient’s craving for opioids, and greatly attenuate the effect of self-administered opioids in patients who continue to episodically use illicit opioids.</w:t>
      </w:r>
    </w:p>
    <w:p w14:paraId="15C6B379" w14:textId="77777777" w:rsidR="004F6F72" w:rsidRDefault="004F6F72" w:rsidP="004F6F72">
      <w:pPr>
        <w:ind w:left="360"/>
        <w:rPr>
          <w:b/>
          <w:szCs w:val="24"/>
        </w:rPr>
      </w:pPr>
    </w:p>
    <w:p w14:paraId="02DFEA86" w14:textId="4429635D" w:rsidR="004F6F72" w:rsidRDefault="004F6F72" w:rsidP="004F6F72">
      <w:pPr>
        <w:rPr>
          <w:szCs w:val="24"/>
        </w:rPr>
      </w:pPr>
      <w:r w:rsidRPr="00255929">
        <w:rPr>
          <w:szCs w:val="24"/>
        </w:rPr>
        <w:t xml:space="preserve">The induction phase of MAT (Medication Assisted Treatment) involves helping the patient begin the process of switching opioids of abuse to buprenorphine. The goal of the induction </w:t>
      </w:r>
      <w:r w:rsidRPr="00823DC9">
        <w:rPr>
          <w:szCs w:val="24"/>
        </w:rPr>
        <w:t>phase is to</w:t>
      </w:r>
      <w:r w:rsidRPr="00255929">
        <w:rPr>
          <w:szCs w:val="24"/>
        </w:rPr>
        <w:t xml:space="preserve"> find the minimum dose of bupre</w:t>
      </w:r>
      <w:r w:rsidRPr="00823DC9">
        <w:rPr>
          <w:szCs w:val="24"/>
        </w:rPr>
        <w:t>norphine at which the patient discontinues or</w:t>
      </w:r>
      <w:r w:rsidRPr="00255929">
        <w:rPr>
          <w:szCs w:val="24"/>
        </w:rPr>
        <w:t xml:space="preserve"> </w:t>
      </w:r>
      <w:r w:rsidRPr="00823DC9">
        <w:rPr>
          <w:szCs w:val="24"/>
        </w:rPr>
        <w:t>markedly diminishes use of other opioids and</w:t>
      </w:r>
      <w:r w:rsidRPr="00255929">
        <w:rPr>
          <w:szCs w:val="24"/>
        </w:rPr>
        <w:t xml:space="preserve"> </w:t>
      </w:r>
      <w:r w:rsidRPr="00823DC9">
        <w:rPr>
          <w:szCs w:val="24"/>
        </w:rPr>
        <w:t>experiences no withdrawal symptoms, minimal</w:t>
      </w:r>
      <w:r w:rsidRPr="00255929">
        <w:rPr>
          <w:szCs w:val="24"/>
        </w:rPr>
        <w:t xml:space="preserve"> </w:t>
      </w:r>
      <w:r w:rsidRPr="00823DC9">
        <w:rPr>
          <w:szCs w:val="24"/>
        </w:rPr>
        <w:t>or no side effects, and no uncontrollable</w:t>
      </w:r>
      <w:r w:rsidRPr="00255929">
        <w:rPr>
          <w:szCs w:val="24"/>
        </w:rPr>
        <w:t xml:space="preserve"> </w:t>
      </w:r>
      <w:r w:rsidRPr="00823DC9">
        <w:rPr>
          <w:szCs w:val="24"/>
        </w:rPr>
        <w:t>cravings for drugs of abuse.</w:t>
      </w:r>
    </w:p>
    <w:p w14:paraId="02D5B5B0" w14:textId="77777777" w:rsidR="001322D8" w:rsidRPr="00823DC9" w:rsidRDefault="001322D8" w:rsidP="004F6F72">
      <w:pPr>
        <w:rPr>
          <w:szCs w:val="24"/>
        </w:rPr>
      </w:pPr>
    </w:p>
    <w:p w14:paraId="6334C7AE" w14:textId="6A2CC274" w:rsidR="004F6F72" w:rsidRPr="004C3015" w:rsidRDefault="004F6F72" w:rsidP="004F6F72">
      <w:pPr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Point of care urine drug screen is completed in the detention center. </w:t>
      </w:r>
    </w:p>
    <w:p w14:paraId="7ADD5678" w14:textId="77777777" w:rsidR="004F6F72" w:rsidRDefault="004F6F72" w:rsidP="004F6F7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Patients must abstain from opioids for 12-24 hours prior to induction, initiating the early stages of withdrawal (sweating, yawning, rhinorrhea, </w:t>
      </w:r>
      <w:proofErr w:type="gramStart"/>
      <w:r>
        <w:rPr>
          <w:szCs w:val="24"/>
        </w:rPr>
        <w:t>etc..</w:t>
      </w:r>
      <w:proofErr w:type="gramEnd"/>
      <w:r>
        <w:rPr>
          <w:szCs w:val="24"/>
        </w:rPr>
        <w:t xml:space="preserve">)  from opioids prior to induction. </w:t>
      </w:r>
    </w:p>
    <w:p w14:paraId="184B3EE5" w14:textId="77777777" w:rsidR="004F6F72" w:rsidRDefault="004F6F72" w:rsidP="004F6F7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COWS (Clinical Opiate Withdrawal Scale) is used to assess the level of withdrawal prior to initial dose of Suboxone. Nursing staff or the provider should provide this assessment. </w:t>
      </w:r>
    </w:p>
    <w:p w14:paraId="19B89011" w14:textId="36BE78B4" w:rsidR="004F6F72" w:rsidRPr="004F6F72" w:rsidRDefault="004F6F72" w:rsidP="004F6F7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Initial dose of Suboxone </w:t>
      </w:r>
      <w:r w:rsidR="002635FE">
        <w:rPr>
          <w:szCs w:val="24"/>
        </w:rPr>
        <w:t>(</w:t>
      </w:r>
      <w:r>
        <w:rPr>
          <w:szCs w:val="24"/>
        </w:rPr>
        <w:t>4 mg</w:t>
      </w:r>
      <w:r w:rsidR="002635FE">
        <w:rPr>
          <w:szCs w:val="24"/>
        </w:rPr>
        <w:t xml:space="preserve">) </w:t>
      </w:r>
      <w:r>
        <w:rPr>
          <w:szCs w:val="24"/>
        </w:rPr>
        <w:t>is given once COWS assessment shows</w:t>
      </w:r>
      <w:r w:rsidR="001322D8">
        <w:rPr>
          <w:szCs w:val="24"/>
        </w:rPr>
        <w:t xml:space="preserve"> mild </w:t>
      </w:r>
      <w:r>
        <w:rPr>
          <w:szCs w:val="24"/>
        </w:rPr>
        <w:t xml:space="preserve">to </w:t>
      </w:r>
      <w:r w:rsidR="001322D8">
        <w:rPr>
          <w:szCs w:val="24"/>
        </w:rPr>
        <w:t>moderate</w:t>
      </w:r>
      <w:r>
        <w:rPr>
          <w:szCs w:val="24"/>
        </w:rPr>
        <w:t xml:space="preserve"> withdrawal</w:t>
      </w:r>
      <w:r w:rsidR="00713F15">
        <w:rPr>
          <w:szCs w:val="24"/>
        </w:rPr>
        <w:t>, &gt;7</w:t>
      </w:r>
      <w:r>
        <w:rPr>
          <w:szCs w:val="24"/>
        </w:rPr>
        <w:t>.</w:t>
      </w:r>
    </w:p>
    <w:p w14:paraId="587B8A7B" w14:textId="0E774630" w:rsidR="004F6F72" w:rsidRDefault="004F6F72" w:rsidP="004F6F7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COWS assessment is repeated 2 hours after induction; if withdrawal symptoms persist then patient is given another dose of Suboxone at 2 mg. This process can be repeated up to </w:t>
      </w:r>
      <w:r w:rsidR="002635FE">
        <w:rPr>
          <w:szCs w:val="24"/>
        </w:rPr>
        <w:t>2</w:t>
      </w:r>
      <w:r>
        <w:rPr>
          <w:szCs w:val="24"/>
        </w:rPr>
        <w:t xml:space="preserve"> times.</w:t>
      </w:r>
    </w:p>
    <w:p w14:paraId="0C1C0CCF" w14:textId="65DA6193" w:rsidR="002635FE" w:rsidRPr="001322D8" w:rsidRDefault="001322D8" w:rsidP="002635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If patient does not have precipitated withdrawal and withdrawal is controlled 2 hours after first dose, d</w:t>
      </w:r>
      <w:r w:rsidR="002635FE" w:rsidRPr="001322D8">
        <w:rPr>
          <w:rFonts w:eastAsiaTheme="minorHAnsi"/>
          <w:szCs w:val="24"/>
        </w:rPr>
        <w:t>ispense a second dose of 4 mg of</w:t>
      </w:r>
      <w:r>
        <w:rPr>
          <w:rFonts w:eastAsiaTheme="minorHAnsi"/>
          <w:szCs w:val="24"/>
        </w:rPr>
        <w:t xml:space="preserve"> </w:t>
      </w:r>
      <w:r w:rsidR="002635FE" w:rsidRPr="001322D8">
        <w:rPr>
          <w:rFonts w:eastAsiaTheme="minorHAnsi"/>
          <w:szCs w:val="24"/>
        </w:rPr>
        <w:t>Suboxone or Subutex</w:t>
      </w:r>
      <w:r>
        <w:rPr>
          <w:rFonts w:eastAsiaTheme="minorHAnsi"/>
          <w:szCs w:val="24"/>
        </w:rPr>
        <w:t xml:space="preserve">. </w:t>
      </w:r>
      <w:r w:rsidR="002635FE" w:rsidRPr="001322D8">
        <w:rPr>
          <w:rFonts w:eastAsiaTheme="minorHAnsi"/>
          <w:szCs w:val="24"/>
        </w:rPr>
        <w:t>The usual first day dose is 8 mg.</w:t>
      </w:r>
    </w:p>
    <w:p w14:paraId="6A66AA09" w14:textId="0106E3D2" w:rsidR="002635FE" w:rsidRPr="001322D8" w:rsidRDefault="002635FE" w:rsidP="002635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1322D8">
        <w:rPr>
          <w:rFonts w:eastAsiaTheme="minorHAnsi"/>
          <w:szCs w:val="24"/>
        </w:rPr>
        <w:t>Assess patient’s response to first day’s dosing. If opioid withdrawal symptoms were fully suppressed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and patient is feeling no withdrawal between doses, then keep dose at first day’s total dose;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otherwise increase the dose by 2 or 4 mg on day 2.</w:t>
      </w:r>
    </w:p>
    <w:p w14:paraId="3FA7B65D" w14:textId="0149E726" w:rsidR="002635FE" w:rsidRPr="001322D8" w:rsidRDefault="002635FE" w:rsidP="002635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1322D8">
        <w:rPr>
          <w:rFonts w:eastAsiaTheme="minorHAnsi"/>
          <w:szCs w:val="24"/>
        </w:rPr>
        <w:t>Assess patient’s response to second day’s dosing. If opioid withdrawal symptoms are fully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suppressed and patient is feeling no withdrawal between doses, then keep the dose at second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day’s dose; otherwise increase the dose by 2 or 4 mg Suboxone on day 3.</w:t>
      </w:r>
    </w:p>
    <w:p w14:paraId="73058861" w14:textId="78C89772" w:rsidR="002635FE" w:rsidRPr="001322D8" w:rsidRDefault="002635FE" w:rsidP="002635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1322D8">
        <w:rPr>
          <w:rFonts w:eastAsiaTheme="minorHAnsi"/>
          <w:szCs w:val="24"/>
        </w:rPr>
        <w:t xml:space="preserve">After 3 days, </w:t>
      </w:r>
      <w:r w:rsidRPr="001322D8">
        <w:rPr>
          <w:rStyle w:val="SubtleEmphasis"/>
          <w:rFonts w:eastAsiaTheme="minorHAnsi"/>
        </w:rPr>
        <w:t>once</w:t>
      </w:r>
      <w:r w:rsidRPr="001322D8">
        <w:rPr>
          <w:rFonts w:eastAsiaTheme="minorHAnsi"/>
          <w:szCs w:val="24"/>
        </w:rPr>
        <w:t xml:space="preserve"> the patient is stable, or after a target dose of 16 mg Suboxone or greater is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achieved, continue at that dose for 3-7 days until steady-state levels are achieved before increasing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the dose further.</w:t>
      </w:r>
    </w:p>
    <w:p w14:paraId="663D2475" w14:textId="46E7F04A" w:rsidR="002635FE" w:rsidRDefault="002635FE" w:rsidP="002635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1322D8">
        <w:rPr>
          <w:rFonts w:eastAsiaTheme="minorHAnsi"/>
          <w:szCs w:val="24"/>
        </w:rPr>
        <w:t>Doses should be decreased by 2 mg at a time if the patient experiences intoxication (not withdrawal</w:t>
      </w:r>
      <w:r w:rsidR="001322D8">
        <w:rPr>
          <w:rFonts w:eastAsiaTheme="minorHAnsi"/>
          <w:szCs w:val="24"/>
        </w:rPr>
        <w:t xml:space="preserve"> </w:t>
      </w:r>
      <w:r w:rsidRPr="001322D8">
        <w:rPr>
          <w:rFonts w:eastAsiaTheme="minorHAnsi"/>
          <w:szCs w:val="24"/>
        </w:rPr>
        <w:t>effects).</w:t>
      </w:r>
    </w:p>
    <w:p w14:paraId="4AFA14BC" w14:textId="77777777" w:rsidR="001322D8" w:rsidRPr="001322D8" w:rsidRDefault="001322D8" w:rsidP="001322D8">
      <w:pPr>
        <w:pStyle w:val="ListParagraph"/>
        <w:autoSpaceDE w:val="0"/>
        <w:autoSpaceDN w:val="0"/>
        <w:adjustRightInd w:val="0"/>
        <w:rPr>
          <w:rFonts w:eastAsiaTheme="minorHAnsi"/>
          <w:szCs w:val="24"/>
        </w:rPr>
      </w:pPr>
    </w:p>
    <w:p w14:paraId="52AC84F4" w14:textId="56A1F1CA" w:rsidR="002635FE" w:rsidRPr="002635FE" w:rsidRDefault="002635FE" w:rsidP="002635FE">
      <w:pPr>
        <w:autoSpaceDE w:val="0"/>
        <w:autoSpaceDN w:val="0"/>
        <w:adjustRightInd w:val="0"/>
        <w:rPr>
          <w:rFonts w:eastAsiaTheme="minorHAnsi"/>
          <w:szCs w:val="24"/>
        </w:rPr>
      </w:pPr>
      <w:r w:rsidRPr="002635FE">
        <w:rPr>
          <w:rFonts w:eastAsiaTheme="minorHAnsi"/>
          <w:szCs w:val="24"/>
        </w:rPr>
        <w:t>Note: The goal is to induce treatment smoothly and suppress withdrawal as completely</w:t>
      </w:r>
    </w:p>
    <w:p w14:paraId="2C2F6BCD" w14:textId="4E2F0775" w:rsidR="00B8534E" w:rsidRPr="0010298D" w:rsidRDefault="002635FE" w:rsidP="0010298D">
      <w:pPr>
        <w:autoSpaceDE w:val="0"/>
        <w:autoSpaceDN w:val="0"/>
        <w:adjustRightInd w:val="0"/>
        <w:rPr>
          <w:szCs w:val="24"/>
        </w:rPr>
      </w:pPr>
      <w:r w:rsidRPr="002635FE">
        <w:rPr>
          <w:rFonts w:eastAsiaTheme="minorHAnsi"/>
          <w:szCs w:val="24"/>
        </w:rPr>
        <w:t xml:space="preserve">and rapidly as possible. </w:t>
      </w:r>
    </w:p>
    <w:sectPr w:rsidR="00B8534E" w:rsidRPr="0010298D" w:rsidSect="00C3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683"/>
    <w:multiLevelType w:val="hybridMultilevel"/>
    <w:tmpl w:val="995E4B68"/>
    <w:lvl w:ilvl="0" w:tplc="63F88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A8A"/>
    <w:multiLevelType w:val="hybridMultilevel"/>
    <w:tmpl w:val="995E4B68"/>
    <w:lvl w:ilvl="0" w:tplc="63F88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984"/>
    <w:multiLevelType w:val="hybridMultilevel"/>
    <w:tmpl w:val="995E4B68"/>
    <w:lvl w:ilvl="0" w:tplc="63F88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3B57"/>
    <w:multiLevelType w:val="hybridMultilevel"/>
    <w:tmpl w:val="995E4B68"/>
    <w:lvl w:ilvl="0" w:tplc="63F88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96B36"/>
    <w:multiLevelType w:val="hybridMultilevel"/>
    <w:tmpl w:val="D8FC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72"/>
    <w:rsid w:val="000121AC"/>
    <w:rsid w:val="0010298D"/>
    <w:rsid w:val="001322D8"/>
    <w:rsid w:val="002635FE"/>
    <w:rsid w:val="002D2BF7"/>
    <w:rsid w:val="002E3D1A"/>
    <w:rsid w:val="00351508"/>
    <w:rsid w:val="00362EB7"/>
    <w:rsid w:val="00496D1E"/>
    <w:rsid w:val="004F6F72"/>
    <w:rsid w:val="00534CEB"/>
    <w:rsid w:val="00642EFA"/>
    <w:rsid w:val="00713F15"/>
    <w:rsid w:val="00756559"/>
    <w:rsid w:val="00793722"/>
    <w:rsid w:val="007B022E"/>
    <w:rsid w:val="00A17DCA"/>
    <w:rsid w:val="00A21151"/>
    <w:rsid w:val="00B07960"/>
    <w:rsid w:val="00B13204"/>
    <w:rsid w:val="00C36A18"/>
    <w:rsid w:val="00C52918"/>
    <w:rsid w:val="00CC208E"/>
    <w:rsid w:val="00E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BFAF"/>
  <w14:defaultImageDpi w14:val="32767"/>
  <w15:chartTrackingRefBased/>
  <w15:docId w15:val="{1B8CD28F-A094-874F-A52A-8A307C1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F7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34C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Ashkin</dc:creator>
  <cp:keywords/>
  <dc:description/>
  <cp:lastModifiedBy>Ashkin, Evan</cp:lastModifiedBy>
  <cp:revision>2</cp:revision>
  <dcterms:created xsi:type="dcterms:W3CDTF">2021-07-06T13:32:00Z</dcterms:created>
  <dcterms:modified xsi:type="dcterms:W3CDTF">2021-07-06T13:32:00Z</dcterms:modified>
</cp:coreProperties>
</file>