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EA33" w14:textId="77777777" w:rsidR="006220DA" w:rsidRPr="000658C6" w:rsidRDefault="006220DA" w:rsidP="000658C6">
      <w:pPr>
        <w:pStyle w:val="Subtitle"/>
        <w:rPr>
          <w:noProof/>
          <w:sz w:val="32"/>
          <w:szCs w:val="22"/>
        </w:rPr>
      </w:pPr>
      <w:r w:rsidRPr="000658C6">
        <w:rPr>
          <w:rStyle w:val="Strong"/>
          <w:sz w:val="28"/>
        </w:rPr>
        <w:t>Overview</w:t>
      </w:r>
    </w:p>
    <w:p w14:paraId="14B26D7D" w14:textId="77777777" w:rsidR="006220DA" w:rsidRPr="00745800" w:rsidRDefault="001C40B1" w:rsidP="008D2E1F">
      <w:pPr>
        <w:rPr>
          <w:rFonts w:asciiTheme="majorHAnsi" w:hAnsiTheme="majorHAnsi"/>
          <w:noProof/>
          <w:sz w:val="22"/>
          <w:szCs w:val="22"/>
        </w:rPr>
      </w:pPr>
      <w:r w:rsidRPr="00745800">
        <w:rPr>
          <w:rFonts w:asciiTheme="majorHAnsi" w:hAnsiTheme="majorHAnsi"/>
          <w:noProof/>
          <w:sz w:val="22"/>
          <w:szCs w:val="22"/>
        </w:rPr>
        <w:t>This year we will complete an ALL funds budget in Strata.</w:t>
      </w:r>
      <w:r w:rsidR="00745800" w:rsidRPr="00745800">
        <w:rPr>
          <w:rFonts w:asciiTheme="majorHAnsi" w:hAnsiTheme="majorHAnsi"/>
          <w:noProof/>
          <w:sz w:val="22"/>
          <w:szCs w:val="22"/>
        </w:rPr>
        <w:t xml:space="preserve">  The timeline is as follows.</w:t>
      </w:r>
      <w:r w:rsidR="00F05A78" w:rsidRPr="00745800">
        <w:rPr>
          <w:rFonts w:asciiTheme="majorHAnsi" w:hAnsiTheme="majorHAnsi"/>
          <w:noProof/>
          <w:sz w:val="22"/>
          <w:szCs w:val="22"/>
        </w:rPr>
        <w:t xml:space="preserve">  Please contact your analyst if you have any questions.</w:t>
      </w:r>
      <w:r w:rsidR="003B3314">
        <w:rPr>
          <w:rFonts w:asciiTheme="majorHAnsi" w:hAnsiTheme="majorHAnsi"/>
          <w:noProof/>
          <w:sz w:val="22"/>
          <w:szCs w:val="22"/>
        </w:rPr>
        <w:t xml:space="preserve">  See attached PowerPoint for instructions on completing your budgets within Strata.</w:t>
      </w:r>
    </w:p>
    <w:p w14:paraId="1C1F086A" w14:textId="18CADCAA" w:rsidR="00F05A78" w:rsidRDefault="003729E0" w:rsidP="008D2E1F">
      <w:pPr>
        <w:rPr>
          <w:rFonts w:asciiTheme="majorHAnsi" w:hAnsiTheme="majorHAnsi"/>
          <w:noProof/>
          <w:sz w:val="22"/>
          <w:szCs w:val="22"/>
        </w:rPr>
      </w:pPr>
      <w:r w:rsidRPr="003B137D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3980248C" wp14:editId="1E9B633D">
            <wp:extent cx="6858000" cy="1628775"/>
            <wp:effectExtent l="19050" t="0" r="1905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D92803B" w14:textId="7A862503" w:rsidR="00D45CE8" w:rsidRDefault="003B137D" w:rsidP="008D2E1F">
      <w:pPr>
        <w:rPr>
          <w:rFonts w:asciiTheme="majorHAnsi" w:hAnsiTheme="majorHAnsi"/>
          <w:noProof/>
          <w:sz w:val="22"/>
          <w:szCs w:val="22"/>
        </w:rPr>
      </w:pPr>
      <w:r w:rsidRPr="003B137D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746DF6D" wp14:editId="5151C421">
            <wp:extent cx="6858000" cy="1257300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84E3A57" w14:textId="77777777" w:rsidR="00A11B32" w:rsidRDefault="00A11B32" w:rsidP="003F4911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8"/>
          <w:szCs w:val="22"/>
        </w:rPr>
      </w:pPr>
    </w:p>
    <w:tbl>
      <w:tblPr>
        <w:tblW w:w="9985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27"/>
        <w:gridCol w:w="2428"/>
        <w:gridCol w:w="90"/>
        <w:gridCol w:w="2520"/>
        <w:gridCol w:w="2520"/>
      </w:tblGrid>
      <w:tr w:rsidR="007330E3" w:rsidRPr="003B137D" w14:paraId="66AA465A" w14:textId="77777777" w:rsidTr="000524AC">
        <w:trPr>
          <w:jc w:val="center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EC74" w14:textId="77777777" w:rsidR="007330E3" w:rsidRPr="007330E3" w:rsidRDefault="007330E3" w:rsidP="0074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FFFFFF" w:themeColor="background1"/>
                <w:spacing w:val="15"/>
                <w:szCs w:val="22"/>
              </w:rPr>
            </w:pPr>
            <w:r w:rsidRPr="007330E3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FFFFFF" w:themeColor="background1"/>
                <w:spacing w:val="15"/>
                <w:szCs w:val="22"/>
              </w:rPr>
              <w:t>Department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BF79A" w14:textId="77777777" w:rsidR="007330E3" w:rsidRPr="007330E3" w:rsidRDefault="007330E3" w:rsidP="0074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FFFFFF" w:themeColor="background1"/>
                <w:spacing w:val="15"/>
                <w:szCs w:val="22"/>
              </w:rPr>
            </w:pPr>
            <w:r w:rsidRPr="007330E3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FFFFFF" w:themeColor="background1"/>
                <w:spacing w:val="15"/>
                <w:szCs w:val="22"/>
              </w:rPr>
              <w:t>UNCFP Contact</w:t>
            </w:r>
          </w:p>
        </w:tc>
        <w:tc>
          <w:tcPr>
            <w:tcW w:w="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C37E91" w14:textId="77777777" w:rsidR="007330E3" w:rsidRPr="007330E3" w:rsidRDefault="007330E3" w:rsidP="0074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FFFFFF" w:themeColor="background1"/>
                <w:spacing w:val="15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15DB7A5D" w14:textId="77777777" w:rsidR="007330E3" w:rsidRPr="007330E3" w:rsidRDefault="007330E3" w:rsidP="0074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FFFFFF" w:themeColor="background1"/>
                <w:spacing w:val="15"/>
                <w:szCs w:val="22"/>
              </w:rPr>
            </w:pPr>
            <w:r w:rsidRPr="007330E3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FFFFFF" w:themeColor="background1"/>
                <w:spacing w:val="15"/>
                <w:szCs w:val="22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14:paraId="1FF1F4AA" w14:textId="77777777" w:rsidR="007330E3" w:rsidRPr="007330E3" w:rsidRDefault="007330E3" w:rsidP="007458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FFFFFF" w:themeColor="background1"/>
                <w:spacing w:val="15"/>
                <w:szCs w:val="22"/>
              </w:rPr>
            </w:pPr>
            <w:r w:rsidRPr="007330E3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FFFFFF" w:themeColor="background1"/>
                <w:spacing w:val="15"/>
                <w:szCs w:val="22"/>
              </w:rPr>
              <w:t>UNCFP Contact</w:t>
            </w:r>
          </w:p>
        </w:tc>
      </w:tr>
      <w:tr w:rsidR="000524AC" w:rsidRPr="003B137D" w14:paraId="7B1E6301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DC4A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Allied Health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4C471" w14:textId="6A719595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E36AB4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15143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Ophthalmology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730F6" w14:textId="2D3BE45D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3DC89093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90A4F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Anesthesiology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56BC" w14:textId="4D2BDFD8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A7671A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vAlign w:val="center"/>
          </w:tcPr>
          <w:p w14:paraId="282B33BA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Orthopaedics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vAlign w:val="center"/>
          </w:tcPr>
          <w:p w14:paraId="1C6C33E6" w14:textId="439FE55A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</w:tr>
      <w:tr w:rsidR="000524AC" w:rsidRPr="003B137D" w14:paraId="1725AACD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33F0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CIDD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8648B" w14:textId="0FED74B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56E91C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9BD9A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Pathology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7C08" w14:textId="5A96F583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3EBEB4E3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3D03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Dermatology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5AF4" w14:textId="4A98127C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Sarah Shipp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B5F21B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vAlign w:val="center"/>
          </w:tcPr>
          <w:p w14:paraId="5E15B040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Pediatrics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vAlign w:val="center"/>
          </w:tcPr>
          <w:p w14:paraId="01177B2B" w14:textId="278A8E83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Spencer Brady</w:t>
            </w:r>
          </w:p>
        </w:tc>
      </w:tr>
      <w:tr w:rsidR="000524AC" w:rsidRPr="003B137D" w14:paraId="535B633B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2B3A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Emergency Medicine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23D7" w14:textId="64CBEC11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5AF8AC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2B4B9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PM&amp;R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2008" w14:textId="0F5B8B31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5DC9910A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AA1AD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ENT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9627B" w14:textId="7FAE7346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Brittney Kass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0562F1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vAlign w:val="center"/>
          </w:tcPr>
          <w:p w14:paraId="7AB18519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Psychiatry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vAlign w:val="center"/>
          </w:tcPr>
          <w:p w14:paraId="074C1037" w14:textId="42FF68CB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092783BA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E189B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Family Medicine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2C255" w14:textId="480C41BC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Brittney Kass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20B508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DDDC7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Radiation Oncology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0E62" w14:textId="2A9D6BD1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61875125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52999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Medicine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A0CF" w14:textId="2D50DDB0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Suzanne Scott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EA8C9D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vAlign w:val="center"/>
          </w:tcPr>
          <w:p w14:paraId="07216A6F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Radiology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vAlign w:val="center"/>
          </w:tcPr>
          <w:p w14:paraId="27FCE07E" w14:textId="0ACE174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</w:tr>
      <w:tr w:rsidR="000524AC" w:rsidRPr="003B137D" w14:paraId="342BB9A2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0F221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Neurology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58EDE" w14:textId="7522427D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C2BD2F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E07F4D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Surgery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094E6" w14:textId="3335EA89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</w:tr>
      <w:tr w:rsidR="000524AC" w:rsidRPr="003B137D" w14:paraId="2B87634E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D43C9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Neurosurgery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E37E2" w14:textId="2A9A4A8B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64F98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9ED"/>
            <w:vAlign w:val="center"/>
          </w:tcPr>
          <w:p w14:paraId="36986A03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TEACCH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7E9ED"/>
            <w:vAlign w:val="center"/>
          </w:tcPr>
          <w:p w14:paraId="1027CF3B" w14:textId="0256F9A5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</w:tr>
      <w:tr w:rsidR="000524AC" w:rsidRPr="00745800" w14:paraId="6280787A" w14:textId="77777777" w:rsidTr="000524AC">
        <w:trPr>
          <w:trHeight w:val="2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7710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OBGYN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95E7B" w14:textId="0363D94C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Hannah Gardner</w:t>
            </w:r>
          </w:p>
        </w:tc>
        <w:tc>
          <w:tcPr>
            <w:tcW w:w="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09E1B" w14:textId="77777777" w:rsidR="000524AC" w:rsidRPr="003B137D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iCs/>
                <w:noProof/>
                <w:color w:val="4F81BD" w:themeColor="accent1"/>
                <w:spacing w:val="15"/>
                <w:szCs w:val="22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E4C9F" w14:textId="77777777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4F81BD" w:themeColor="accent1"/>
                <w:spacing w:val="15"/>
                <w:szCs w:val="22"/>
              </w:rPr>
              <w:t>Urology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E4F4B" w14:textId="5644941A" w:rsidR="000524AC" w:rsidRPr="000524AC" w:rsidRDefault="000524AC" w:rsidP="000524AC">
            <w:pPr>
              <w:overflowPunct/>
              <w:autoSpaceDE/>
              <w:autoSpaceDN/>
              <w:adjustRightInd/>
              <w:textAlignment w:val="auto"/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</w:pPr>
            <w:r w:rsidRPr="000524AC">
              <w:rPr>
                <w:rFonts w:asciiTheme="majorHAnsi" w:eastAsiaTheme="majorEastAsia" w:hAnsiTheme="majorHAnsi" w:cstheme="majorBidi"/>
                <w:b/>
                <w:iCs/>
                <w:noProof/>
                <w:color w:val="000000" w:themeColor="text1"/>
                <w:spacing w:val="15"/>
                <w:szCs w:val="22"/>
              </w:rPr>
              <w:t>Sam Smith</w:t>
            </w:r>
          </w:p>
        </w:tc>
      </w:tr>
    </w:tbl>
    <w:p w14:paraId="759ACB04" w14:textId="77777777" w:rsidR="00745800" w:rsidRDefault="00745800" w:rsidP="003F4911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i/>
          <w:iCs/>
          <w:noProof/>
          <w:color w:val="4F81BD" w:themeColor="accent1"/>
          <w:spacing w:val="15"/>
          <w:sz w:val="28"/>
          <w:szCs w:val="22"/>
        </w:rPr>
      </w:pPr>
    </w:p>
    <w:p w14:paraId="4E6B4B78" w14:textId="5B16B9E4" w:rsidR="00A11B32" w:rsidRDefault="00A11B32" w:rsidP="000658C6">
      <w:pPr>
        <w:pStyle w:val="Subtitle"/>
        <w:rPr>
          <w:rStyle w:val="Strong"/>
          <w:sz w:val="28"/>
        </w:rPr>
      </w:pPr>
      <w:r w:rsidRPr="000658C6">
        <w:rPr>
          <w:rStyle w:val="Strong"/>
          <w:sz w:val="28"/>
        </w:rPr>
        <w:t>Budget Assumptions</w:t>
      </w:r>
    </w:p>
    <w:p w14:paraId="11E63FBD" w14:textId="77777777" w:rsidR="00297065" w:rsidRPr="00297065" w:rsidRDefault="00297065" w:rsidP="00297065"/>
    <w:p w14:paraId="053B0D8B" w14:textId="0FCE0EBA" w:rsidR="00A11B32" w:rsidRPr="007330E3" w:rsidRDefault="00A11B32" w:rsidP="00A11B32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  <w:r w:rsidRPr="007330E3">
        <w:rPr>
          <w:rFonts w:asciiTheme="majorHAnsi" w:hAnsiTheme="majorHAnsi"/>
          <w:noProof/>
          <w:sz w:val="22"/>
          <w:szCs w:val="22"/>
        </w:rPr>
        <w:t xml:space="preserve">The model currently assumes that there will be a </w:t>
      </w:r>
      <w:r w:rsidR="007330E3" w:rsidRPr="007330E3">
        <w:rPr>
          <w:rFonts w:asciiTheme="majorHAnsi" w:hAnsiTheme="majorHAnsi"/>
          <w:noProof/>
          <w:sz w:val="22"/>
          <w:szCs w:val="22"/>
        </w:rPr>
        <w:t>2</w:t>
      </w:r>
      <w:r w:rsidRPr="007330E3">
        <w:rPr>
          <w:rFonts w:asciiTheme="majorHAnsi" w:hAnsiTheme="majorHAnsi"/>
          <w:noProof/>
          <w:sz w:val="22"/>
          <w:szCs w:val="22"/>
        </w:rPr>
        <w:t>% increase for University employees, excluding Faculty (effective July 20</w:t>
      </w:r>
      <w:r w:rsidR="003B137D" w:rsidRPr="007330E3">
        <w:rPr>
          <w:rFonts w:asciiTheme="majorHAnsi" w:hAnsiTheme="majorHAnsi"/>
          <w:noProof/>
          <w:sz w:val="22"/>
          <w:szCs w:val="22"/>
        </w:rPr>
        <w:t>20</w:t>
      </w:r>
      <w:r w:rsidRPr="007330E3">
        <w:rPr>
          <w:rFonts w:asciiTheme="majorHAnsi" w:hAnsiTheme="majorHAnsi"/>
          <w:noProof/>
          <w:sz w:val="22"/>
          <w:szCs w:val="22"/>
        </w:rPr>
        <w:t xml:space="preserve">), and 2% increase for HCS employees (effective </w:t>
      </w:r>
      <w:r w:rsidR="007330E3">
        <w:rPr>
          <w:rFonts w:asciiTheme="majorHAnsi" w:hAnsiTheme="majorHAnsi"/>
          <w:noProof/>
          <w:sz w:val="22"/>
          <w:szCs w:val="22"/>
        </w:rPr>
        <w:t>February</w:t>
      </w:r>
      <w:r w:rsidRPr="007330E3">
        <w:rPr>
          <w:rFonts w:asciiTheme="majorHAnsi" w:hAnsiTheme="majorHAnsi"/>
          <w:noProof/>
          <w:sz w:val="22"/>
          <w:szCs w:val="22"/>
        </w:rPr>
        <w:t xml:space="preserve"> 202</w:t>
      </w:r>
      <w:r w:rsidR="003B137D" w:rsidRPr="007330E3">
        <w:rPr>
          <w:rFonts w:asciiTheme="majorHAnsi" w:hAnsiTheme="majorHAnsi"/>
          <w:noProof/>
          <w:sz w:val="22"/>
          <w:szCs w:val="22"/>
        </w:rPr>
        <w:t>1</w:t>
      </w:r>
      <w:r w:rsidRPr="007330E3">
        <w:rPr>
          <w:rFonts w:asciiTheme="majorHAnsi" w:hAnsiTheme="majorHAnsi"/>
          <w:noProof/>
          <w:sz w:val="22"/>
          <w:szCs w:val="22"/>
        </w:rPr>
        <w:t>)</w:t>
      </w:r>
    </w:p>
    <w:p w14:paraId="582DEF39" w14:textId="4927FC51" w:rsidR="003B137D" w:rsidRDefault="00A11B32" w:rsidP="00810DC7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sz w:val="22"/>
          <w:szCs w:val="22"/>
        </w:rPr>
      </w:pPr>
      <w:r w:rsidRPr="007330E3">
        <w:rPr>
          <w:rFonts w:asciiTheme="majorHAnsi" w:hAnsiTheme="majorHAnsi"/>
          <w:noProof/>
          <w:sz w:val="22"/>
          <w:szCs w:val="22"/>
        </w:rPr>
        <w:t xml:space="preserve">For faculty, incentive payments </w:t>
      </w:r>
      <w:r w:rsidR="00AA74FF" w:rsidRPr="007330E3">
        <w:rPr>
          <w:rFonts w:asciiTheme="majorHAnsi" w:hAnsiTheme="majorHAnsi"/>
          <w:noProof/>
          <w:sz w:val="22"/>
          <w:szCs w:val="22"/>
        </w:rPr>
        <w:t xml:space="preserve">were to be budgeted in Faculty Roster Budgeting (FRB).  If this was overlooked initiatlly, you will have another opportunity to update FRB </w:t>
      </w:r>
      <w:r w:rsidR="003B137D" w:rsidRPr="007330E3">
        <w:rPr>
          <w:rFonts w:asciiTheme="majorHAnsi" w:hAnsiTheme="majorHAnsi"/>
          <w:noProof/>
          <w:sz w:val="22"/>
          <w:szCs w:val="22"/>
        </w:rPr>
        <w:t>weekly.</w:t>
      </w:r>
    </w:p>
    <w:p w14:paraId="3D4ED960" w14:textId="77777777" w:rsidR="00297065" w:rsidRPr="00297065" w:rsidRDefault="00297065" w:rsidP="00297065">
      <w:pPr>
        <w:pStyle w:val="ListParagraph"/>
        <w:numPr>
          <w:ilvl w:val="1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Closes, Thursday, 1/30 at 2 pm</w:t>
      </w:r>
    </w:p>
    <w:p w14:paraId="77915424" w14:textId="121E3C35" w:rsidR="00297065" w:rsidRPr="00297065" w:rsidRDefault="00297065" w:rsidP="00297065">
      <w:pPr>
        <w:pStyle w:val="ListParagraph"/>
        <w:numPr>
          <w:ilvl w:val="2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Reopens Friday, 1/31 at 8 am and data available to review in Strata</w:t>
      </w:r>
    </w:p>
    <w:p w14:paraId="54766BAC" w14:textId="77777777" w:rsidR="00297065" w:rsidRPr="00297065" w:rsidRDefault="00297065" w:rsidP="00297065">
      <w:pPr>
        <w:pStyle w:val="ListParagraph"/>
        <w:numPr>
          <w:ilvl w:val="1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Closes Thursday, 2/6 at 2 pm</w:t>
      </w:r>
      <w:r w:rsidRPr="00297065">
        <w:rPr>
          <w:rFonts w:asciiTheme="majorHAnsi" w:hAnsiTheme="majorHAnsi"/>
          <w:i/>
          <w:iCs/>
          <w:noProof/>
          <w:sz w:val="22"/>
          <w:szCs w:val="22"/>
        </w:rPr>
        <w:tab/>
      </w:r>
    </w:p>
    <w:p w14:paraId="1D55DB92" w14:textId="20467F96" w:rsidR="00297065" w:rsidRPr="00297065" w:rsidRDefault="00297065" w:rsidP="00297065">
      <w:pPr>
        <w:pStyle w:val="ListParagraph"/>
        <w:numPr>
          <w:ilvl w:val="2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Reopens Friday, 2/7 at 8 am and data available to review in Strata</w:t>
      </w:r>
    </w:p>
    <w:p w14:paraId="5810FA3C" w14:textId="77777777" w:rsidR="00297065" w:rsidRPr="00297065" w:rsidRDefault="00297065" w:rsidP="00297065">
      <w:pPr>
        <w:pStyle w:val="ListParagraph"/>
        <w:numPr>
          <w:ilvl w:val="1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Closes Thursday, 2/13 at 2 pm</w:t>
      </w:r>
      <w:r w:rsidRPr="00297065">
        <w:rPr>
          <w:rFonts w:asciiTheme="majorHAnsi" w:hAnsiTheme="majorHAnsi"/>
          <w:i/>
          <w:iCs/>
          <w:noProof/>
          <w:sz w:val="22"/>
          <w:szCs w:val="22"/>
        </w:rPr>
        <w:tab/>
      </w:r>
      <w:r w:rsidRPr="00297065">
        <w:rPr>
          <w:rFonts w:asciiTheme="majorHAnsi" w:hAnsiTheme="majorHAnsi"/>
          <w:i/>
          <w:iCs/>
          <w:noProof/>
          <w:sz w:val="22"/>
          <w:szCs w:val="22"/>
        </w:rPr>
        <w:tab/>
      </w:r>
      <w:r w:rsidRPr="00297065">
        <w:rPr>
          <w:rFonts w:asciiTheme="majorHAnsi" w:hAnsiTheme="majorHAnsi"/>
          <w:i/>
          <w:iCs/>
          <w:noProof/>
          <w:sz w:val="22"/>
          <w:szCs w:val="22"/>
        </w:rPr>
        <w:tab/>
      </w:r>
    </w:p>
    <w:p w14:paraId="2DD072A2" w14:textId="77777777" w:rsidR="00297065" w:rsidRPr="00297065" w:rsidRDefault="00297065" w:rsidP="00297065">
      <w:pPr>
        <w:pStyle w:val="ListParagraph"/>
        <w:numPr>
          <w:ilvl w:val="2"/>
          <w:numId w:val="12"/>
        </w:numPr>
        <w:rPr>
          <w:rFonts w:asciiTheme="majorHAnsi" w:hAnsiTheme="majorHAnsi"/>
          <w:i/>
          <w:iCs/>
          <w:noProof/>
          <w:sz w:val="22"/>
          <w:szCs w:val="22"/>
        </w:rPr>
      </w:pPr>
      <w:r w:rsidRPr="00297065">
        <w:rPr>
          <w:rFonts w:asciiTheme="majorHAnsi" w:hAnsiTheme="majorHAnsi"/>
          <w:i/>
          <w:iCs/>
          <w:noProof/>
          <w:sz w:val="22"/>
          <w:szCs w:val="22"/>
        </w:rPr>
        <w:t>Friday 2/14 at 8 am data available to reivew in Strata</w:t>
      </w:r>
    </w:p>
    <w:p w14:paraId="57D07D16" w14:textId="36825EB7" w:rsidR="00F95D55" w:rsidRPr="00297065" w:rsidRDefault="00842BCE" w:rsidP="00290230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lastRenderedPageBreak/>
        <w:t xml:space="preserve">For </w:t>
      </w:r>
      <w:r w:rsidR="00A11B32" w:rsidRPr="00297065">
        <w:rPr>
          <w:rFonts w:asciiTheme="majorHAnsi" w:hAnsiTheme="majorHAnsi"/>
          <w:noProof/>
          <w:sz w:val="22"/>
          <w:szCs w:val="22"/>
        </w:rPr>
        <w:t>Chairs, please budget for the full incentive</w:t>
      </w:r>
      <w:r w:rsidR="00AA74FF" w:rsidRPr="00297065">
        <w:rPr>
          <w:rFonts w:asciiTheme="majorHAnsi" w:hAnsiTheme="majorHAnsi"/>
          <w:noProof/>
          <w:sz w:val="22"/>
          <w:szCs w:val="22"/>
        </w:rPr>
        <w:t xml:space="preserve"> within FRB</w:t>
      </w:r>
      <w:r w:rsidR="00A11B32" w:rsidRPr="00297065">
        <w:rPr>
          <w:rFonts w:asciiTheme="majorHAnsi" w:hAnsiTheme="majorHAnsi"/>
          <w:noProof/>
          <w:sz w:val="22"/>
          <w:szCs w:val="22"/>
        </w:rPr>
        <w:t xml:space="preserve">.  </w:t>
      </w:r>
      <w:r w:rsidR="00AA74FF" w:rsidRPr="00297065">
        <w:rPr>
          <w:rFonts w:asciiTheme="majorHAnsi" w:hAnsiTheme="majorHAnsi"/>
          <w:noProof/>
          <w:sz w:val="22"/>
          <w:szCs w:val="22"/>
        </w:rPr>
        <w:t>This includes t</w:t>
      </w:r>
      <w:r w:rsidR="00A11B32" w:rsidRPr="00297065">
        <w:rPr>
          <w:rFonts w:asciiTheme="majorHAnsi" w:hAnsiTheme="majorHAnsi"/>
          <w:noProof/>
          <w:sz w:val="22"/>
          <w:szCs w:val="22"/>
        </w:rPr>
        <w:t xml:space="preserve">he </w:t>
      </w:r>
      <w:r w:rsidR="00AA74FF" w:rsidRPr="00297065">
        <w:rPr>
          <w:rFonts w:asciiTheme="majorHAnsi" w:hAnsiTheme="majorHAnsi"/>
          <w:noProof/>
          <w:sz w:val="22"/>
          <w:szCs w:val="22"/>
        </w:rPr>
        <w:t>departmenal incentive and the additional Chair incentive determined by the Dean</w:t>
      </w:r>
      <w:r w:rsidR="00A11B32" w:rsidRPr="00297065">
        <w:rPr>
          <w:rFonts w:asciiTheme="majorHAnsi" w:hAnsiTheme="majorHAnsi"/>
          <w:noProof/>
          <w:sz w:val="22"/>
          <w:szCs w:val="22"/>
        </w:rPr>
        <w:t>’s Office</w:t>
      </w:r>
      <w:r w:rsidR="00AF7753" w:rsidRPr="00297065">
        <w:rPr>
          <w:rFonts w:asciiTheme="majorHAnsi" w:hAnsiTheme="majorHAnsi"/>
          <w:noProof/>
          <w:sz w:val="22"/>
          <w:szCs w:val="22"/>
        </w:rPr>
        <w:t xml:space="preserve"> (please assume $50,000 for these).</w:t>
      </w:r>
      <w:r w:rsidR="00A11B32" w:rsidRPr="00297065">
        <w:rPr>
          <w:rFonts w:asciiTheme="majorHAnsi" w:hAnsiTheme="majorHAnsi"/>
          <w:noProof/>
          <w:sz w:val="22"/>
          <w:szCs w:val="22"/>
        </w:rPr>
        <w:t xml:space="preserve"> If these incentives were not budgeted for in the first round of Faculty Roster Budgeting (FRB) you will have an opportunity to enter these </w:t>
      </w:r>
      <w:r w:rsidR="003B137D" w:rsidRPr="00297065">
        <w:rPr>
          <w:rFonts w:asciiTheme="majorHAnsi" w:hAnsiTheme="majorHAnsi"/>
          <w:noProof/>
          <w:sz w:val="22"/>
          <w:szCs w:val="22"/>
        </w:rPr>
        <w:t>weekly</w:t>
      </w:r>
      <w:r w:rsidR="00A11B32" w:rsidRPr="00297065">
        <w:rPr>
          <w:rFonts w:asciiTheme="majorHAnsi" w:hAnsiTheme="majorHAnsi"/>
          <w:noProof/>
          <w:sz w:val="22"/>
          <w:szCs w:val="22"/>
        </w:rPr>
        <w:t>.</w:t>
      </w:r>
    </w:p>
    <w:p w14:paraId="745B871C" w14:textId="072A5477" w:rsidR="006357FF" w:rsidRPr="007330E3" w:rsidRDefault="006E74D7" w:rsidP="006357FF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Beginning in FY21, please budget using the new IT bill amount. </w:t>
      </w:r>
      <w:r w:rsidRPr="00884A0A">
        <w:rPr>
          <w:rFonts w:asciiTheme="majorHAnsi" w:hAnsiTheme="majorHAnsi"/>
          <w:noProof/>
          <w:sz w:val="22"/>
          <w:szCs w:val="22"/>
        </w:rPr>
        <w:t xml:space="preserve">  </w:t>
      </w:r>
      <w:r w:rsidR="006357FF" w:rsidRPr="007330E3">
        <w:rPr>
          <w:rFonts w:asciiTheme="majorHAnsi" w:hAnsiTheme="majorHAnsi"/>
          <w:noProof/>
          <w:sz w:val="22"/>
          <w:szCs w:val="22"/>
        </w:rPr>
        <w:t xml:space="preserve">For </w:t>
      </w:r>
      <w:r>
        <w:rPr>
          <w:rFonts w:asciiTheme="majorHAnsi" w:hAnsiTheme="majorHAnsi"/>
          <w:noProof/>
          <w:sz w:val="22"/>
          <w:szCs w:val="22"/>
        </w:rPr>
        <w:t xml:space="preserve">HR and Finance </w:t>
      </w:r>
      <w:bookmarkStart w:id="0" w:name="_GoBack"/>
      <w:bookmarkEnd w:id="0"/>
      <w:r w:rsidR="006357FF" w:rsidRPr="007330E3">
        <w:rPr>
          <w:rFonts w:asciiTheme="majorHAnsi" w:hAnsiTheme="majorHAnsi"/>
          <w:noProof/>
          <w:sz w:val="22"/>
          <w:szCs w:val="22"/>
        </w:rPr>
        <w:t xml:space="preserve">Service Center </w:t>
      </w:r>
      <w:r w:rsidR="000F32D9" w:rsidRPr="007330E3">
        <w:rPr>
          <w:rFonts w:asciiTheme="majorHAnsi" w:hAnsiTheme="majorHAnsi"/>
          <w:noProof/>
          <w:sz w:val="22"/>
          <w:szCs w:val="22"/>
        </w:rPr>
        <w:t xml:space="preserve">rates </w:t>
      </w:r>
      <w:r w:rsidR="006357FF" w:rsidRPr="007330E3">
        <w:rPr>
          <w:rFonts w:asciiTheme="majorHAnsi" w:hAnsiTheme="majorHAnsi"/>
          <w:noProof/>
          <w:sz w:val="22"/>
          <w:szCs w:val="22"/>
        </w:rPr>
        <w:t>please budget similar to what you budgeted in FY</w:t>
      </w:r>
      <w:r w:rsidR="003B137D" w:rsidRPr="007330E3">
        <w:rPr>
          <w:rFonts w:asciiTheme="majorHAnsi" w:hAnsiTheme="majorHAnsi"/>
          <w:noProof/>
          <w:sz w:val="22"/>
          <w:szCs w:val="22"/>
        </w:rPr>
        <w:t>20</w:t>
      </w:r>
      <w:r w:rsidR="006357FF" w:rsidRPr="007330E3">
        <w:rPr>
          <w:rFonts w:asciiTheme="majorHAnsi" w:hAnsiTheme="majorHAnsi"/>
          <w:noProof/>
          <w:sz w:val="22"/>
          <w:szCs w:val="22"/>
        </w:rPr>
        <w:t xml:space="preserve">.  If you have specific questions, please contact Tara Coble-Herring </w:t>
      </w:r>
      <w:r w:rsidR="000F32D9" w:rsidRPr="007330E3">
        <w:rPr>
          <w:rFonts w:asciiTheme="majorHAnsi" w:hAnsiTheme="majorHAnsi"/>
          <w:noProof/>
          <w:sz w:val="22"/>
          <w:szCs w:val="22"/>
        </w:rPr>
        <w:t>(</w:t>
      </w:r>
      <w:hyperlink r:id="rId18" w:history="1">
        <w:r w:rsidR="000F32D9" w:rsidRPr="007330E3">
          <w:rPr>
            <w:rStyle w:val="Hyperlink"/>
            <w:rFonts w:asciiTheme="majorHAnsi" w:hAnsiTheme="majorHAnsi"/>
            <w:noProof/>
            <w:sz w:val="22"/>
            <w:szCs w:val="22"/>
          </w:rPr>
          <w:t>tara_coble-herring@med.unc.edu</w:t>
        </w:r>
      </w:hyperlink>
      <w:r w:rsidR="000F32D9" w:rsidRPr="007330E3">
        <w:rPr>
          <w:rFonts w:asciiTheme="majorHAnsi" w:hAnsiTheme="majorHAnsi"/>
          <w:noProof/>
          <w:sz w:val="22"/>
          <w:szCs w:val="22"/>
        </w:rPr>
        <w:t xml:space="preserve">) </w:t>
      </w:r>
      <w:r w:rsidR="006357FF" w:rsidRPr="007330E3">
        <w:rPr>
          <w:rFonts w:asciiTheme="majorHAnsi" w:hAnsiTheme="majorHAnsi"/>
          <w:noProof/>
          <w:sz w:val="22"/>
          <w:szCs w:val="22"/>
        </w:rPr>
        <w:t xml:space="preserve">for the HR service center, and Tamala Gray </w:t>
      </w:r>
      <w:r w:rsidR="000F32D9" w:rsidRPr="007330E3">
        <w:rPr>
          <w:rFonts w:asciiTheme="majorHAnsi" w:hAnsiTheme="majorHAnsi"/>
          <w:noProof/>
          <w:sz w:val="22"/>
          <w:szCs w:val="22"/>
        </w:rPr>
        <w:t>(</w:t>
      </w:r>
      <w:hyperlink r:id="rId19" w:history="1">
        <w:r w:rsidR="000F32D9" w:rsidRPr="007330E3">
          <w:rPr>
            <w:rStyle w:val="Hyperlink"/>
            <w:rFonts w:asciiTheme="majorHAnsi" w:hAnsiTheme="majorHAnsi"/>
            <w:noProof/>
            <w:sz w:val="22"/>
            <w:szCs w:val="22"/>
          </w:rPr>
          <w:t>tamala_gray@med.unc.edu</w:t>
        </w:r>
      </w:hyperlink>
      <w:r w:rsidR="000F32D9" w:rsidRPr="007330E3">
        <w:rPr>
          <w:rFonts w:asciiTheme="majorHAnsi" w:hAnsiTheme="majorHAnsi"/>
          <w:noProof/>
          <w:sz w:val="22"/>
          <w:szCs w:val="22"/>
        </w:rPr>
        <w:t xml:space="preserve">) </w:t>
      </w:r>
      <w:r w:rsidR="006357FF" w:rsidRPr="007330E3">
        <w:rPr>
          <w:rFonts w:asciiTheme="majorHAnsi" w:hAnsiTheme="majorHAnsi"/>
          <w:noProof/>
          <w:sz w:val="22"/>
          <w:szCs w:val="22"/>
        </w:rPr>
        <w:t>for the Finance service center.</w:t>
      </w:r>
    </w:p>
    <w:p w14:paraId="056B08D3" w14:textId="147D25A8" w:rsidR="001C40B1" w:rsidRPr="001C40B1" w:rsidRDefault="003B137D" w:rsidP="001C40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>P</w:t>
      </w:r>
      <w:r w:rsidR="001C40B1" w:rsidRPr="001C40B1">
        <w:rPr>
          <w:rFonts w:asciiTheme="majorHAnsi" w:hAnsiTheme="majorHAnsi"/>
          <w:noProof/>
          <w:sz w:val="22"/>
          <w:szCs w:val="22"/>
        </w:rPr>
        <w:t>rojection methods are as follows:</w:t>
      </w:r>
    </w:p>
    <w:p w14:paraId="763E4058" w14:textId="77777777" w:rsidR="00A11B32" w:rsidRDefault="001C40B1" w:rsidP="00A11B32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1C40B1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9E5D1C8" wp14:editId="35EAFEDB">
            <wp:extent cx="6858000" cy="1952625"/>
            <wp:effectExtent l="38100" t="0" r="19050" b="952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A11B32" w:rsidRPr="00171D9F">
        <w:rPr>
          <w:rFonts w:asciiTheme="majorHAnsi" w:hAnsiTheme="majorHAnsi"/>
          <w:sz w:val="22"/>
          <w:szCs w:val="22"/>
        </w:rPr>
        <w:t xml:space="preserve"> </w:t>
      </w:r>
    </w:p>
    <w:p w14:paraId="4D376AED" w14:textId="77777777" w:rsidR="001C40B1" w:rsidRDefault="001C40B1" w:rsidP="00A11B32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620DE2C8" w14:textId="77777777" w:rsidR="003F4911" w:rsidRPr="000658C6" w:rsidRDefault="00683D30" w:rsidP="000658C6">
      <w:pPr>
        <w:pStyle w:val="Subtitle"/>
        <w:rPr>
          <w:rStyle w:val="Strong"/>
          <w:sz w:val="28"/>
        </w:rPr>
      </w:pPr>
      <w:r w:rsidRPr="000658C6">
        <w:rPr>
          <w:rStyle w:val="Strong"/>
          <w:sz w:val="28"/>
        </w:rPr>
        <w:t xml:space="preserve">UNCFP Funds </w:t>
      </w:r>
      <w:r w:rsidR="00D45CE8" w:rsidRPr="000658C6">
        <w:rPr>
          <w:rStyle w:val="Strong"/>
          <w:sz w:val="28"/>
        </w:rPr>
        <w:t>General Guidelines</w:t>
      </w:r>
    </w:p>
    <w:p w14:paraId="49C206F2" w14:textId="77777777" w:rsidR="001B59E2" w:rsidRPr="007330E3" w:rsidRDefault="00F95D55" w:rsidP="001B59E2">
      <w:pPr>
        <w:pStyle w:val="ListParagraph"/>
        <w:numPr>
          <w:ilvl w:val="0"/>
          <w:numId w:val="12"/>
        </w:numPr>
        <w:rPr>
          <w:rFonts w:asciiTheme="majorHAnsi" w:hAnsiTheme="majorHAnsi"/>
          <w:noProof/>
          <w:sz w:val="22"/>
          <w:szCs w:val="22"/>
        </w:rPr>
      </w:pPr>
      <w:r w:rsidRPr="007330E3">
        <w:rPr>
          <w:rFonts w:asciiTheme="majorHAnsi" w:hAnsiTheme="majorHAnsi"/>
          <w:noProof/>
          <w:sz w:val="22"/>
          <w:szCs w:val="22"/>
        </w:rPr>
        <w:t>You should budget your CIC amount based on the letter you received from the CIC committee</w:t>
      </w:r>
    </w:p>
    <w:p w14:paraId="678A02FE" w14:textId="77777777" w:rsidR="00F95D55" w:rsidRPr="007330E3" w:rsidRDefault="00F95D55" w:rsidP="00F95D55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sz w:val="22"/>
        </w:rPr>
      </w:pPr>
      <w:r w:rsidRPr="007330E3">
        <w:rPr>
          <w:rFonts w:asciiTheme="majorHAnsi" w:hAnsiTheme="majorHAnsi"/>
          <w:sz w:val="22"/>
        </w:rPr>
        <w:t>Items determined centrally.  Please do not budget anything until it is communicated to you</w:t>
      </w:r>
      <w:r w:rsidR="00402875" w:rsidRPr="007330E3">
        <w:rPr>
          <w:rFonts w:asciiTheme="majorHAnsi" w:hAnsiTheme="majorHAnsi"/>
          <w:sz w:val="22"/>
        </w:rPr>
        <w:t>.</w:t>
      </w:r>
    </w:p>
    <w:p w14:paraId="38F674A3" w14:textId="77777777" w:rsidR="00F95D55" w:rsidRPr="007330E3" w:rsidRDefault="00F95D55" w:rsidP="00F95D55">
      <w:pPr>
        <w:pStyle w:val="ListParagraph"/>
        <w:numPr>
          <w:ilvl w:val="1"/>
          <w:numId w:val="12"/>
        </w:numPr>
        <w:spacing w:before="0" w:beforeAutospacing="0" w:after="0" w:afterAutospacing="0"/>
        <w:rPr>
          <w:rFonts w:asciiTheme="majorHAnsi" w:hAnsiTheme="majorHAnsi"/>
          <w:sz w:val="22"/>
        </w:rPr>
      </w:pPr>
      <w:r w:rsidRPr="007330E3">
        <w:rPr>
          <w:rFonts w:asciiTheme="majorHAnsi" w:hAnsiTheme="majorHAnsi"/>
          <w:sz w:val="22"/>
        </w:rPr>
        <w:t>Professional Liability (LITF)</w:t>
      </w:r>
    </w:p>
    <w:p w14:paraId="61E56C8D" w14:textId="2AD8204C" w:rsidR="00F95D55" w:rsidRPr="007330E3" w:rsidRDefault="00F95D55" w:rsidP="00F95D55">
      <w:pPr>
        <w:pStyle w:val="ListParagraph"/>
        <w:numPr>
          <w:ilvl w:val="1"/>
          <w:numId w:val="12"/>
        </w:numPr>
        <w:spacing w:before="0" w:beforeAutospacing="0" w:after="0" w:afterAutospacing="0"/>
        <w:rPr>
          <w:rFonts w:asciiTheme="majorHAnsi" w:hAnsiTheme="majorHAnsi"/>
          <w:sz w:val="22"/>
        </w:rPr>
      </w:pPr>
      <w:r w:rsidRPr="007330E3">
        <w:rPr>
          <w:rFonts w:asciiTheme="majorHAnsi" w:hAnsiTheme="majorHAnsi"/>
          <w:sz w:val="22"/>
        </w:rPr>
        <w:t>UPL</w:t>
      </w:r>
    </w:p>
    <w:p w14:paraId="405BCC11" w14:textId="2D253B43" w:rsidR="007330E3" w:rsidRPr="007330E3" w:rsidRDefault="007330E3" w:rsidP="00F95D55">
      <w:pPr>
        <w:pStyle w:val="ListParagraph"/>
        <w:numPr>
          <w:ilvl w:val="1"/>
          <w:numId w:val="12"/>
        </w:numPr>
        <w:spacing w:before="0" w:beforeAutospacing="0" w:after="0" w:afterAutospacing="0"/>
        <w:rPr>
          <w:rFonts w:asciiTheme="majorHAnsi" w:hAnsiTheme="majorHAnsi"/>
          <w:sz w:val="22"/>
        </w:rPr>
      </w:pPr>
      <w:r w:rsidRPr="007330E3">
        <w:rPr>
          <w:rFonts w:asciiTheme="majorHAnsi" w:hAnsiTheme="majorHAnsi"/>
          <w:sz w:val="22"/>
        </w:rPr>
        <w:t>Gain Share</w:t>
      </w:r>
      <w:r w:rsidR="00E97A5A">
        <w:rPr>
          <w:rFonts w:asciiTheme="majorHAnsi" w:hAnsiTheme="majorHAnsi"/>
          <w:sz w:val="22"/>
        </w:rPr>
        <w:t xml:space="preserve"> and Gain Share Incentives</w:t>
      </w:r>
    </w:p>
    <w:p w14:paraId="3982472C" w14:textId="77777777" w:rsidR="00F95D55" w:rsidRPr="007330E3" w:rsidRDefault="00F95D55" w:rsidP="00F95D55">
      <w:pPr>
        <w:pStyle w:val="ListParagraph"/>
        <w:numPr>
          <w:ilvl w:val="1"/>
          <w:numId w:val="12"/>
        </w:numPr>
        <w:spacing w:before="0" w:beforeAutospacing="0" w:after="0" w:afterAutospacing="0"/>
        <w:rPr>
          <w:rFonts w:asciiTheme="majorHAnsi" w:hAnsiTheme="majorHAnsi"/>
          <w:sz w:val="22"/>
        </w:rPr>
      </w:pPr>
      <w:r w:rsidRPr="007330E3">
        <w:rPr>
          <w:rFonts w:asciiTheme="majorHAnsi" w:hAnsiTheme="majorHAnsi"/>
          <w:sz w:val="22"/>
        </w:rPr>
        <w:t xml:space="preserve">Investment Income </w:t>
      </w:r>
    </w:p>
    <w:p w14:paraId="55F136AE" w14:textId="1559CD70" w:rsidR="001B59E2" w:rsidRPr="00E97A5A" w:rsidRDefault="00AA74FF" w:rsidP="00F95D55">
      <w:pPr>
        <w:pStyle w:val="ListParagraph"/>
        <w:numPr>
          <w:ilvl w:val="1"/>
          <w:numId w:val="12"/>
        </w:numPr>
        <w:spacing w:after="0" w:afterAutospacing="0"/>
        <w:rPr>
          <w:rFonts w:asciiTheme="majorHAnsi" w:hAnsiTheme="majorHAnsi"/>
          <w:sz w:val="22"/>
        </w:rPr>
      </w:pPr>
      <w:r w:rsidRPr="00E97A5A">
        <w:rPr>
          <w:rFonts w:asciiTheme="majorHAnsi" w:hAnsiTheme="majorHAnsi"/>
          <w:noProof/>
          <w:sz w:val="22"/>
          <w:szCs w:val="22"/>
        </w:rPr>
        <w:t>Tax and vacancy factors will be zero’d out and will not automatically calculate.  The FP Admin team will calculate these after the fact for departments</w:t>
      </w:r>
      <w:r w:rsidR="001C6026">
        <w:rPr>
          <w:rFonts w:asciiTheme="majorHAnsi" w:hAnsiTheme="majorHAnsi"/>
          <w:noProof/>
          <w:sz w:val="22"/>
          <w:szCs w:val="22"/>
        </w:rPr>
        <w:t>.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220"/>
        <w:gridCol w:w="3940"/>
      </w:tblGrid>
      <w:tr w:rsidR="00AA74FF" w:rsidRPr="00AF4096" w14:paraId="061ADFB5" w14:textId="77777777" w:rsidTr="003B3314">
        <w:trPr>
          <w:trHeight w:val="300"/>
          <w:jc w:val="center"/>
        </w:trPr>
        <w:tc>
          <w:tcPr>
            <w:tcW w:w="1440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B86EE" w14:textId="77777777" w:rsidR="00AA74FF" w:rsidRPr="00AF4096" w:rsidRDefault="00AA74FF" w:rsidP="00040DC2">
            <w:pPr>
              <w:rPr>
                <w:rFonts w:asciiTheme="majorHAnsi" w:hAnsiTheme="majorHAnsi"/>
                <w:color w:val="FFFFFF"/>
              </w:rPr>
            </w:pPr>
            <w:r w:rsidRPr="00AF4096">
              <w:rPr>
                <w:rFonts w:asciiTheme="majorHAnsi" w:hAnsiTheme="majorHAnsi"/>
                <w:color w:val="FFFFFF"/>
              </w:rPr>
              <w:t>ACCOUNT</w:t>
            </w:r>
          </w:p>
        </w:tc>
        <w:tc>
          <w:tcPr>
            <w:tcW w:w="4220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2A83" w14:textId="77777777" w:rsidR="00AA74FF" w:rsidRPr="00AF4096" w:rsidRDefault="00AA74FF" w:rsidP="00040DC2">
            <w:pPr>
              <w:rPr>
                <w:rFonts w:asciiTheme="majorHAnsi" w:hAnsiTheme="majorHAnsi"/>
                <w:color w:val="FFFFFF"/>
              </w:rPr>
            </w:pPr>
            <w:r w:rsidRPr="00AF4096">
              <w:rPr>
                <w:rFonts w:asciiTheme="majorHAnsi" w:hAnsiTheme="majorHAnsi"/>
                <w:color w:val="FFFFFF"/>
              </w:rPr>
              <w:t>Account and Description</w:t>
            </w:r>
          </w:p>
        </w:tc>
        <w:tc>
          <w:tcPr>
            <w:tcW w:w="3940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F9317" w14:textId="77777777" w:rsidR="00AA74FF" w:rsidRPr="00AF4096" w:rsidRDefault="00AA74FF" w:rsidP="00040DC2">
            <w:pPr>
              <w:rPr>
                <w:rFonts w:asciiTheme="majorHAnsi" w:hAnsiTheme="majorHAnsi"/>
                <w:color w:val="FFFFFF"/>
              </w:rPr>
            </w:pPr>
            <w:r w:rsidRPr="00AF4096">
              <w:rPr>
                <w:rFonts w:asciiTheme="majorHAnsi" w:hAnsiTheme="majorHAnsi"/>
                <w:color w:val="FFFFFF"/>
              </w:rPr>
              <w:t>Notes</w:t>
            </w:r>
          </w:p>
        </w:tc>
      </w:tr>
      <w:tr w:rsidR="00AA74FF" w:rsidRPr="00AF4096" w14:paraId="6DF9C1E7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4CA17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582681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9BC0E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 xml:space="preserve">582681 - </w:t>
            </w:r>
            <w:proofErr w:type="spellStart"/>
            <w:r w:rsidRPr="00AF4096">
              <w:rPr>
                <w:rFonts w:asciiTheme="majorHAnsi" w:hAnsiTheme="majorHAnsi"/>
                <w:color w:val="000000"/>
              </w:rPr>
              <w:t>Trf</w:t>
            </w:r>
            <w:proofErr w:type="spellEnd"/>
            <w:r w:rsidRPr="00AF4096">
              <w:rPr>
                <w:rFonts w:asciiTheme="majorHAnsi" w:hAnsiTheme="majorHAnsi"/>
                <w:color w:val="000000"/>
              </w:rPr>
              <w:t xml:space="preserve"> Nm-UNCFP Inter Dept Tax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04DE8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Divisional Tax, % rate set by Department</w:t>
            </w:r>
          </w:p>
        </w:tc>
      </w:tr>
      <w:tr w:rsidR="00AA74FF" w:rsidRPr="00AF4096" w14:paraId="6DE591FF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0A83E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582490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30699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 xml:space="preserve">582490 - </w:t>
            </w:r>
            <w:proofErr w:type="spellStart"/>
            <w:r w:rsidRPr="00AF4096">
              <w:rPr>
                <w:rFonts w:asciiTheme="majorHAnsi" w:hAnsiTheme="majorHAnsi"/>
                <w:color w:val="000000"/>
              </w:rPr>
              <w:t>Trf</w:t>
            </w:r>
            <w:proofErr w:type="spellEnd"/>
            <w:r w:rsidRPr="00AF4096">
              <w:rPr>
                <w:rFonts w:asciiTheme="majorHAnsi" w:hAnsiTheme="majorHAnsi"/>
                <w:color w:val="000000"/>
              </w:rPr>
              <w:t xml:space="preserve"> Intra-Special Funds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0FEA3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Contract tax 5.5%</w:t>
            </w:r>
          </w:p>
        </w:tc>
      </w:tr>
      <w:tr w:rsidR="00AA74FF" w:rsidRPr="00AF4096" w14:paraId="62B49F7B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EDB3A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582680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CEFA7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 xml:space="preserve">582680 - </w:t>
            </w:r>
            <w:proofErr w:type="spellStart"/>
            <w:r w:rsidRPr="00AF4096">
              <w:rPr>
                <w:rFonts w:asciiTheme="majorHAnsi" w:hAnsiTheme="majorHAnsi"/>
                <w:color w:val="000000"/>
              </w:rPr>
              <w:t>Trf</w:t>
            </w:r>
            <w:proofErr w:type="spellEnd"/>
            <w:r w:rsidRPr="00AF4096">
              <w:rPr>
                <w:rFonts w:asciiTheme="majorHAnsi" w:hAnsiTheme="majorHAnsi"/>
                <w:color w:val="000000"/>
              </w:rPr>
              <w:t xml:space="preserve"> Nm-UNCFP Enterprise Deduct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29A42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Non FF Divisions Only - 2.5%</w:t>
            </w:r>
          </w:p>
        </w:tc>
      </w:tr>
      <w:tr w:rsidR="00AA74FF" w:rsidRPr="00AF4096" w14:paraId="3E3D88E3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712CA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582650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8B8CF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 xml:space="preserve">582650 - </w:t>
            </w:r>
            <w:proofErr w:type="spellStart"/>
            <w:r w:rsidRPr="00AF4096">
              <w:rPr>
                <w:rFonts w:asciiTheme="majorHAnsi" w:hAnsiTheme="majorHAnsi"/>
                <w:color w:val="000000"/>
              </w:rPr>
              <w:t>Trf</w:t>
            </w:r>
            <w:proofErr w:type="spellEnd"/>
            <w:r w:rsidRPr="00AF4096">
              <w:rPr>
                <w:rFonts w:asciiTheme="majorHAnsi" w:hAnsiTheme="majorHAnsi"/>
                <w:color w:val="000000"/>
              </w:rPr>
              <w:t xml:space="preserve"> Nm-UNCFP Admin Fund Deduct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6A67A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Non FF Divisions Only - 16%</w:t>
            </w:r>
          </w:p>
        </w:tc>
      </w:tr>
      <w:tr w:rsidR="00AA74FF" w:rsidRPr="00AF4096" w14:paraId="2592FEF1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93BE3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582640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B61FC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 xml:space="preserve">582640 - </w:t>
            </w:r>
            <w:proofErr w:type="spellStart"/>
            <w:r w:rsidRPr="00AF4096">
              <w:rPr>
                <w:rFonts w:asciiTheme="majorHAnsi" w:hAnsiTheme="majorHAnsi"/>
                <w:color w:val="000000"/>
              </w:rPr>
              <w:t>Trf</w:t>
            </w:r>
            <w:proofErr w:type="spellEnd"/>
            <w:r w:rsidRPr="00AF4096">
              <w:rPr>
                <w:rFonts w:asciiTheme="majorHAnsi" w:hAnsiTheme="majorHAnsi"/>
                <w:color w:val="000000"/>
              </w:rPr>
              <w:t xml:space="preserve"> Nm-UNCFP ACC Deduction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D751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Non FF Divisions Only - 2.5%</w:t>
            </w:r>
          </w:p>
        </w:tc>
      </w:tr>
      <w:tr w:rsidR="00AA74FF" w:rsidRPr="00AF4096" w14:paraId="46521F7E" w14:textId="77777777" w:rsidTr="00F95D55">
        <w:trPr>
          <w:trHeight w:val="300"/>
          <w:jc w:val="center"/>
        </w:trPr>
        <w:tc>
          <w:tcPr>
            <w:tcW w:w="1440" w:type="dxa"/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B2617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20" w:type="dxa"/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0FF38" w14:textId="77777777" w:rsidR="00AA74FF" w:rsidRPr="00AF4096" w:rsidRDefault="00AA74FF" w:rsidP="00040DC2">
            <w:pPr>
              <w:rPr>
                <w:rFonts w:asciiTheme="majorHAnsi" w:hAnsiTheme="majorHAnsi"/>
              </w:rPr>
            </w:pPr>
          </w:p>
        </w:tc>
        <w:tc>
          <w:tcPr>
            <w:tcW w:w="3940" w:type="dxa"/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BF064" w14:textId="77777777" w:rsidR="00AA74FF" w:rsidRPr="00AF4096" w:rsidRDefault="00AA74FF" w:rsidP="00040DC2">
            <w:pPr>
              <w:rPr>
                <w:rFonts w:asciiTheme="majorHAnsi" w:hAnsiTheme="majorHAnsi"/>
              </w:rPr>
            </w:pPr>
          </w:p>
        </w:tc>
      </w:tr>
      <w:tr w:rsidR="00AA74FF" w:rsidRPr="00AF4096" w14:paraId="2D02FF86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F0594" w14:textId="77777777" w:rsidR="00AA74FF" w:rsidRPr="00AF4096" w:rsidRDefault="00AA74FF" w:rsidP="00040DC2">
            <w:pPr>
              <w:rPr>
                <w:rFonts w:asciiTheme="majorHAnsi" w:eastAsiaTheme="minorHAnsi" w:hAnsiTheme="majorHAnsi" w:cs="Calibri"/>
                <w:color w:val="000000"/>
                <w:sz w:val="22"/>
                <w:szCs w:val="22"/>
              </w:rPr>
            </w:pPr>
            <w:r w:rsidRPr="00AF4096">
              <w:rPr>
                <w:rFonts w:asciiTheme="majorHAnsi" w:hAnsiTheme="majorHAnsi"/>
                <w:color w:val="000000"/>
              </w:rPr>
              <w:t>511100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5F2AF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511100 - EHRA Non Teach Budget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BD6FA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Faculty Vacancy Factor</w:t>
            </w:r>
          </w:p>
        </w:tc>
      </w:tr>
      <w:tr w:rsidR="00AA74FF" w:rsidRPr="00AF4096" w14:paraId="616F5522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19530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512500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546A7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512500 - SHRA Severance Budget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43F2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 w:rsidRPr="00AF4096">
              <w:rPr>
                <w:rFonts w:asciiTheme="majorHAnsi" w:hAnsiTheme="majorHAnsi"/>
                <w:color w:val="000000"/>
              </w:rPr>
              <w:t>Staff Vacancy Factor</w:t>
            </w:r>
          </w:p>
        </w:tc>
      </w:tr>
      <w:tr w:rsidR="00AA74FF" w:rsidRPr="00AF4096" w14:paraId="663A3DFB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1D85E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515000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63E8E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515000 – Fringe Benefits Budget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A8E1A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Faculty Benefit Vacancy Factor</w:t>
            </w:r>
          </w:p>
        </w:tc>
      </w:tr>
      <w:tr w:rsidR="00AA74FF" w:rsidRPr="00AF4096" w14:paraId="267EAA8A" w14:textId="77777777" w:rsidTr="003B3314">
        <w:trPr>
          <w:trHeight w:val="300"/>
          <w:jc w:val="center"/>
        </w:trPr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8AB69" w14:textId="77777777" w:rsidR="00AA74FF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522915</w:t>
            </w:r>
          </w:p>
        </w:tc>
        <w:tc>
          <w:tcPr>
            <w:tcW w:w="4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84C432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522915 – HCS Contract Serv Sup Fac BFT</w:t>
            </w:r>
          </w:p>
        </w:tc>
        <w:tc>
          <w:tcPr>
            <w:tcW w:w="3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77EF8" w14:textId="77777777" w:rsidR="00AA74FF" w:rsidRPr="00AF4096" w:rsidRDefault="00AA74FF" w:rsidP="00040DC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Staff Benefit Vacancy Factor</w:t>
            </w:r>
          </w:p>
        </w:tc>
      </w:tr>
    </w:tbl>
    <w:p w14:paraId="64613DAF" w14:textId="77777777" w:rsidR="00AA74FF" w:rsidRPr="00AA74FF" w:rsidRDefault="00AA74FF" w:rsidP="00AA74FF">
      <w:pPr>
        <w:ind w:left="360"/>
        <w:rPr>
          <w:rFonts w:asciiTheme="majorHAnsi" w:hAnsiTheme="majorHAnsi"/>
          <w:sz w:val="22"/>
        </w:rPr>
      </w:pPr>
    </w:p>
    <w:p w14:paraId="01883C58" w14:textId="77777777" w:rsidR="000658C6" w:rsidRDefault="000658C6" w:rsidP="000658C6">
      <w:pPr>
        <w:pStyle w:val="Subtitle"/>
        <w:rPr>
          <w:rStyle w:val="Strong"/>
          <w:b w:val="0"/>
          <w:bCs w:val="0"/>
          <w:color w:val="E36C0A" w:themeColor="accent6" w:themeShade="BF"/>
        </w:rPr>
      </w:pPr>
      <w:r w:rsidRPr="000658C6">
        <w:rPr>
          <w:rStyle w:val="Strong"/>
          <w:b w:val="0"/>
          <w:bCs w:val="0"/>
          <w:color w:val="E36C0A" w:themeColor="accent6" w:themeShade="BF"/>
        </w:rPr>
        <w:t>UNCFP Funds Flow Considerations</w:t>
      </w:r>
    </w:p>
    <w:p w14:paraId="627FA04F" w14:textId="77777777" w:rsidR="000658C6" w:rsidRPr="007330E3" w:rsidRDefault="003B3314" w:rsidP="003B3314">
      <w:pPr>
        <w:pStyle w:val="ListParagraph"/>
        <w:numPr>
          <w:ilvl w:val="0"/>
          <w:numId w:val="14"/>
        </w:numPr>
        <w:rPr>
          <w:rFonts w:asciiTheme="majorHAnsi" w:eastAsiaTheme="majorEastAsia" w:hAnsiTheme="majorHAnsi"/>
          <w:sz w:val="22"/>
        </w:rPr>
      </w:pPr>
      <w:r w:rsidRPr="007330E3">
        <w:rPr>
          <w:rFonts w:asciiTheme="majorHAnsi" w:eastAsiaTheme="majorEastAsia" w:hAnsiTheme="majorHAnsi"/>
          <w:sz w:val="22"/>
        </w:rPr>
        <w:t xml:space="preserve">All funds flow accounts are </w:t>
      </w:r>
      <w:proofErr w:type="spellStart"/>
      <w:r w:rsidRPr="007330E3">
        <w:rPr>
          <w:rFonts w:asciiTheme="majorHAnsi" w:eastAsiaTheme="majorEastAsia" w:hAnsiTheme="majorHAnsi"/>
          <w:sz w:val="22"/>
        </w:rPr>
        <w:t>zero’d</w:t>
      </w:r>
      <w:proofErr w:type="spellEnd"/>
      <w:r w:rsidRPr="007330E3">
        <w:rPr>
          <w:rFonts w:asciiTheme="majorHAnsi" w:eastAsiaTheme="majorEastAsia" w:hAnsiTheme="majorHAnsi"/>
          <w:sz w:val="22"/>
        </w:rPr>
        <w:t xml:space="preserve"> out and the funds flow conversion process will take place after you submit your budget</w:t>
      </w:r>
    </w:p>
    <w:p w14:paraId="5535D436" w14:textId="5D6500EE" w:rsidR="003B3314" w:rsidRPr="007330E3" w:rsidRDefault="007330E3" w:rsidP="003B3314">
      <w:pPr>
        <w:pStyle w:val="ListParagraph"/>
        <w:numPr>
          <w:ilvl w:val="0"/>
          <w:numId w:val="14"/>
        </w:numPr>
        <w:rPr>
          <w:rFonts w:asciiTheme="majorHAnsi" w:eastAsiaTheme="majorEastAsia" w:hAnsiTheme="majorHAnsi"/>
          <w:sz w:val="22"/>
        </w:rPr>
      </w:pPr>
      <w:r w:rsidRPr="007330E3">
        <w:rPr>
          <w:rFonts w:asciiTheme="majorHAnsi" w:eastAsiaTheme="majorEastAsia" w:hAnsiTheme="majorHAnsi"/>
          <w:sz w:val="22"/>
        </w:rPr>
        <w:t>Practice</w:t>
      </w:r>
      <w:r w:rsidR="00270022" w:rsidRPr="007330E3">
        <w:rPr>
          <w:rFonts w:asciiTheme="majorHAnsi" w:eastAsiaTheme="majorEastAsia" w:hAnsiTheme="majorHAnsi"/>
          <w:sz w:val="22"/>
        </w:rPr>
        <w:t xml:space="preserve"> expense</w:t>
      </w:r>
      <w:r w:rsidRPr="007330E3">
        <w:rPr>
          <w:rFonts w:asciiTheme="majorHAnsi" w:eastAsiaTheme="majorEastAsia" w:hAnsiTheme="majorHAnsi"/>
          <w:sz w:val="22"/>
        </w:rPr>
        <w:t xml:space="preserve"> is at the CPT code level, so</w:t>
      </w:r>
      <w:r w:rsidR="00270022" w:rsidRPr="007330E3">
        <w:rPr>
          <w:rFonts w:asciiTheme="majorHAnsi" w:eastAsiaTheme="majorEastAsia" w:hAnsiTheme="majorHAnsi"/>
          <w:sz w:val="22"/>
        </w:rPr>
        <w:t xml:space="preserve"> we will be sending out separate worksheets to budget your FY2</w:t>
      </w:r>
      <w:r w:rsidR="003B137D" w:rsidRPr="007330E3">
        <w:rPr>
          <w:rFonts w:asciiTheme="majorHAnsi" w:eastAsiaTheme="majorEastAsia" w:hAnsiTheme="majorHAnsi"/>
          <w:sz w:val="22"/>
        </w:rPr>
        <w:t>1</w:t>
      </w:r>
      <w:r w:rsidR="00270022" w:rsidRPr="007330E3">
        <w:rPr>
          <w:rFonts w:asciiTheme="majorHAnsi" w:eastAsiaTheme="majorEastAsia" w:hAnsiTheme="majorHAnsi"/>
          <w:sz w:val="22"/>
        </w:rPr>
        <w:t xml:space="preserve"> reimbursements. </w:t>
      </w:r>
    </w:p>
    <w:p w14:paraId="0D1AF4EF" w14:textId="684453FE" w:rsidR="00270022" w:rsidRPr="007330E3" w:rsidRDefault="00270022" w:rsidP="00270022">
      <w:pPr>
        <w:pStyle w:val="ListParagraph"/>
        <w:numPr>
          <w:ilvl w:val="0"/>
          <w:numId w:val="14"/>
        </w:numPr>
        <w:rPr>
          <w:rFonts w:asciiTheme="majorHAnsi" w:eastAsiaTheme="majorEastAsia" w:hAnsiTheme="majorHAnsi"/>
          <w:sz w:val="22"/>
        </w:rPr>
      </w:pPr>
      <w:r w:rsidRPr="007330E3">
        <w:rPr>
          <w:rFonts w:asciiTheme="majorHAnsi" w:eastAsiaTheme="majorEastAsia" w:hAnsiTheme="majorHAnsi"/>
          <w:sz w:val="22"/>
        </w:rPr>
        <w:t>Account 441640 which includes GME reimbursement and GME contracts will be budgeted centrally after the FY2</w:t>
      </w:r>
      <w:r w:rsidR="003B137D" w:rsidRPr="007330E3">
        <w:rPr>
          <w:rFonts w:asciiTheme="majorHAnsi" w:eastAsiaTheme="majorEastAsia" w:hAnsiTheme="majorHAnsi"/>
          <w:sz w:val="22"/>
        </w:rPr>
        <w:t>1</w:t>
      </w:r>
      <w:r w:rsidRPr="007330E3">
        <w:rPr>
          <w:rFonts w:asciiTheme="majorHAnsi" w:eastAsiaTheme="majorEastAsia" w:hAnsiTheme="majorHAnsi"/>
          <w:sz w:val="22"/>
        </w:rPr>
        <w:t xml:space="preserve"> budget submission.  If you have current contracts that involve GME residents you will receive a GME Contract worksheet.  </w:t>
      </w:r>
    </w:p>
    <w:p w14:paraId="5E333C14" w14:textId="6688F698" w:rsidR="00270022" w:rsidRPr="00270022" w:rsidRDefault="00270022" w:rsidP="00270022">
      <w:pPr>
        <w:pStyle w:val="ListParagraph"/>
        <w:numPr>
          <w:ilvl w:val="0"/>
          <w:numId w:val="14"/>
        </w:numPr>
        <w:rPr>
          <w:rFonts w:asciiTheme="majorHAnsi" w:eastAsiaTheme="majorEastAsia" w:hAnsiTheme="majorHAnsi"/>
          <w:sz w:val="22"/>
        </w:rPr>
      </w:pPr>
      <w:r w:rsidRPr="007330E3">
        <w:rPr>
          <w:rFonts w:asciiTheme="majorHAnsi" w:eastAsiaTheme="majorEastAsia" w:hAnsiTheme="majorHAnsi"/>
          <w:sz w:val="22"/>
        </w:rPr>
        <w:lastRenderedPageBreak/>
        <w:t xml:space="preserve">If you have any new contracts that involve GME residents, please reach out to </w:t>
      </w:r>
      <w:r w:rsidR="007330E3" w:rsidRPr="007330E3">
        <w:rPr>
          <w:rFonts w:asciiTheme="majorHAnsi" w:eastAsiaTheme="majorEastAsia" w:hAnsiTheme="majorHAnsi"/>
          <w:sz w:val="22"/>
        </w:rPr>
        <w:t>Brittney Kass</w:t>
      </w:r>
      <w:r w:rsidRPr="007330E3">
        <w:rPr>
          <w:rFonts w:asciiTheme="majorHAnsi" w:eastAsiaTheme="majorEastAsia" w:hAnsiTheme="majorHAnsi"/>
          <w:sz w:val="22"/>
        </w:rPr>
        <w:t>.</w:t>
      </w:r>
      <w:r w:rsidRPr="00270022">
        <w:rPr>
          <w:rFonts w:asciiTheme="majorHAnsi" w:eastAsiaTheme="majorEastAsia" w:hAnsiTheme="majorHAnsi"/>
          <w:sz w:val="22"/>
        </w:rPr>
        <w:t xml:space="preserve"> </w:t>
      </w:r>
    </w:p>
    <w:p w14:paraId="2D62397B" w14:textId="77777777" w:rsidR="00683D30" w:rsidRPr="00AF4096" w:rsidRDefault="00683D30" w:rsidP="00AF4096">
      <w:pPr>
        <w:pStyle w:val="Subtitle"/>
        <w:rPr>
          <w:rStyle w:val="Strong"/>
          <w:sz w:val="28"/>
        </w:rPr>
      </w:pPr>
      <w:r w:rsidRPr="00AF4096">
        <w:rPr>
          <w:rStyle w:val="Strong"/>
          <w:sz w:val="28"/>
        </w:rPr>
        <w:t>SOM Funds General Guidelines</w:t>
      </w:r>
    </w:p>
    <w:p w14:paraId="2C4400BF" w14:textId="77777777" w:rsidR="00D35AA4" w:rsidRDefault="00D35AA4" w:rsidP="00D35AA4">
      <w:pPr>
        <w:pStyle w:val="Subtitle"/>
        <w:rPr>
          <w:rStyle w:val="Strong"/>
          <w:b w:val="0"/>
          <w:color w:val="E36C0A" w:themeColor="accent6" w:themeShade="BF"/>
        </w:rPr>
      </w:pPr>
    </w:p>
    <w:p w14:paraId="14305263" w14:textId="2BEA4CD3" w:rsidR="00402875" w:rsidRDefault="00D35AA4" w:rsidP="003B137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ajorHAnsi" w:hAnsiTheme="majorHAnsi" w:cs="Calibri"/>
          <w:sz w:val="22"/>
          <w:szCs w:val="22"/>
        </w:rPr>
      </w:pPr>
      <w:r w:rsidRPr="00A42626">
        <w:rPr>
          <w:rFonts w:asciiTheme="majorHAnsi" w:hAnsiTheme="majorHAnsi" w:cs="Calibri"/>
          <w:b/>
          <w:sz w:val="22"/>
          <w:szCs w:val="22"/>
        </w:rPr>
        <w:t>Auxiliary/Recharge Core Facilities</w:t>
      </w:r>
      <w:r w:rsidRPr="00A42626">
        <w:rPr>
          <w:rFonts w:asciiTheme="majorHAnsi" w:hAnsiTheme="majorHAnsi" w:cs="Calibri"/>
          <w:sz w:val="22"/>
          <w:szCs w:val="22"/>
        </w:rPr>
        <w:t xml:space="preserve"> – anticipate the revenu</w:t>
      </w:r>
      <w:r>
        <w:rPr>
          <w:rFonts w:asciiTheme="majorHAnsi" w:hAnsiTheme="majorHAnsi" w:cs="Calibri"/>
          <w:sz w:val="22"/>
          <w:szCs w:val="22"/>
        </w:rPr>
        <w:t>e you expect to bring in for FY2</w:t>
      </w:r>
      <w:r w:rsidR="003B137D">
        <w:rPr>
          <w:rFonts w:asciiTheme="majorHAnsi" w:hAnsiTheme="majorHAnsi" w:cs="Calibri"/>
          <w:sz w:val="22"/>
          <w:szCs w:val="22"/>
        </w:rPr>
        <w:t>1</w:t>
      </w:r>
      <w:r>
        <w:rPr>
          <w:rFonts w:asciiTheme="majorHAnsi" w:hAnsiTheme="majorHAnsi" w:cs="Calibri"/>
          <w:sz w:val="22"/>
          <w:szCs w:val="22"/>
        </w:rPr>
        <w:t xml:space="preserve"> only</w:t>
      </w:r>
      <w:r w:rsidRPr="00A42626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 It is recommended to use the Recharge/Cores Report in School Reports to see your current FY</w:t>
      </w:r>
      <w:r w:rsidR="003B137D">
        <w:rPr>
          <w:rFonts w:asciiTheme="majorHAnsi" w:hAnsiTheme="majorHAnsi" w:cs="Calibri"/>
          <w:sz w:val="22"/>
          <w:szCs w:val="22"/>
        </w:rPr>
        <w:t>20</w:t>
      </w:r>
      <w:r>
        <w:rPr>
          <w:rFonts w:asciiTheme="majorHAnsi" w:hAnsiTheme="majorHAnsi" w:cs="Calibri"/>
          <w:sz w:val="22"/>
          <w:szCs w:val="22"/>
        </w:rPr>
        <w:t xml:space="preserve"> revenues and expenses. </w:t>
      </w:r>
    </w:p>
    <w:p w14:paraId="5692019C" w14:textId="77777777" w:rsidR="003B137D" w:rsidRDefault="003B137D" w:rsidP="003B137D">
      <w:pPr>
        <w:overflowPunct/>
        <w:autoSpaceDE/>
        <w:autoSpaceDN/>
        <w:adjustRightInd/>
        <w:ind w:left="720"/>
        <w:textAlignment w:val="auto"/>
        <w:rPr>
          <w:rFonts w:asciiTheme="majorHAnsi" w:hAnsiTheme="majorHAnsi" w:cs="Calibri"/>
          <w:sz w:val="22"/>
          <w:szCs w:val="22"/>
        </w:rPr>
      </w:pPr>
    </w:p>
    <w:p w14:paraId="4D0A46C8" w14:textId="2F6B81A4" w:rsidR="003B137D" w:rsidRPr="003B137D" w:rsidRDefault="00D35AA4" w:rsidP="003B137D">
      <w:pPr>
        <w:pStyle w:val="ListParagraph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3B137D">
        <w:rPr>
          <w:rFonts w:asciiTheme="majorHAnsi" w:hAnsiTheme="majorHAnsi" w:cs="Calibri"/>
          <w:b/>
          <w:sz w:val="22"/>
          <w:szCs w:val="22"/>
        </w:rPr>
        <w:t>Contracts and Grants</w:t>
      </w:r>
      <w:r w:rsidRPr="003B137D">
        <w:rPr>
          <w:rFonts w:asciiTheme="majorHAnsi" w:hAnsiTheme="majorHAnsi" w:cs="Calibri"/>
          <w:sz w:val="22"/>
          <w:szCs w:val="22"/>
        </w:rPr>
        <w:t xml:space="preserve"> – forecast based on existing funds and known awards for FY2</w:t>
      </w:r>
      <w:r w:rsidR="003B137D" w:rsidRPr="003B137D">
        <w:rPr>
          <w:rFonts w:asciiTheme="majorHAnsi" w:hAnsiTheme="majorHAnsi" w:cs="Calibri"/>
          <w:sz w:val="22"/>
          <w:szCs w:val="22"/>
        </w:rPr>
        <w:t>1</w:t>
      </w:r>
      <w:r w:rsidRPr="003B137D">
        <w:rPr>
          <w:rFonts w:asciiTheme="majorHAnsi" w:hAnsiTheme="majorHAnsi" w:cs="Calibri"/>
          <w:sz w:val="22"/>
          <w:szCs w:val="22"/>
        </w:rPr>
        <w:t xml:space="preserve">.  As a reminder, we force revenue to equal our expense.  </w:t>
      </w:r>
      <w:r w:rsidR="003B137D" w:rsidRPr="003B137D">
        <w:rPr>
          <w:rFonts w:asciiTheme="majorHAnsi" w:hAnsiTheme="majorHAnsi" w:cs="Calibri"/>
          <w:sz w:val="22"/>
          <w:szCs w:val="22"/>
        </w:rPr>
        <w:t xml:space="preserve">Awards issued </w:t>
      </w:r>
      <w:r w:rsidR="003B137D" w:rsidRPr="003B137D">
        <w:rPr>
          <w:rFonts w:asciiTheme="majorHAnsi" w:hAnsiTheme="majorHAnsi" w:cs="Calibri"/>
          <w:b/>
          <w:bCs/>
          <w:sz w:val="22"/>
          <w:szCs w:val="22"/>
        </w:rPr>
        <w:t>on/after</w:t>
      </w:r>
      <w:r w:rsidR="003B137D" w:rsidRPr="003B137D">
        <w:rPr>
          <w:rFonts w:asciiTheme="majorHAnsi" w:hAnsiTheme="majorHAnsi" w:cs="Calibri"/>
          <w:sz w:val="22"/>
          <w:szCs w:val="22"/>
        </w:rPr>
        <w:t xml:space="preserve"> January 6, 2019 are subject to the exec level II salary cap of $192,300.  Should the cap change during the budget process please use the new salary cap.</w:t>
      </w:r>
    </w:p>
    <w:p w14:paraId="3F9B5FF7" w14:textId="1E4A3901" w:rsidR="00402875" w:rsidRPr="003B137D" w:rsidRDefault="00402875" w:rsidP="003B137D">
      <w:pPr>
        <w:overflowPunct/>
        <w:autoSpaceDE/>
        <w:autoSpaceDN/>
        <w:adjustRightInd/>
        <w:ind w:left="720"/>
        <w:textAlignment w:val="auto"/>
        <w:rPr>
          <w:rFonts w:asciiTheme="majorHAnsi" w:hAnsiTheme="majorHAnsi" w:cs="Calibri"/>
          <w:sz w:val="22"/>
          <w:szCs w:val="22"/>
        </w:rPr>
      </w:pPr>
    </w:p>
    <w:p w14:paraId="46BD4F09" w14:textId="77777777" w:rsidR="00D35AA4" w:rsidRPr="00C7786A" w:rsidRDefault="00D35AA4" w:rsidP="003B137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ajorHAnsi" w:hAnsiTheme="majorHAnsi" w:cs="Calibri"/>
          <w:sz w:val="22"/>
          <w:szCs w:val="22"/>
        </w:rPr>
      </w:pPr>
      <w:r w:rsidRPr="005C6217">
        <w:rPr>
          <w:rFonts w:asciiTheme="majorHAnsi" w:hAnsiTheme="majorHAnsi" w:cs="Calibri"/>
          <w:b/>
          <w:sz w:val="22"/>
          <w:szCs w:val="22"/>
        </w:rPr>
        <w:t>Gifts, Endowments Income, and Other</w:t>
      </w:r>
      <w:r w:rsidRPr="005C6217">
        <w:rPr>
          <w:rFonts w:asciiTheme="majorHAnsi" w:hAnsiTheme="majorHAnsi" w:cs="Calibri"/>
          <w:sz w:val="22"/>
          <w:szCs w:val="22"/>
        </w:rPr>
        <w:t xml:space="preserve"> – endowment income</w:t>
      </w:r>
      <w:r>
        <w:rPr>
          <w:rFonts w:asciiTheme="majorHAnsi" w:hAnsiTheme="majorHAnsi" w:cs="Calibri"/>
          <w:sz w:val="22"/>
          <w:szCs w:val="22"/>
        </w:rPr>
        <w:t xml:space="preserve"> (account code 433110)</w:t>
      </w:r>
      <w:r w:rsidRPr="005C6217">
        <w:rPr>
          <w:rFonts w:asciiTheme="majorHAnsi" w:hAnsiTheme="majorHAnsi" w:cs="Calibri"/>
          <w:sz w:val="22"/>
          <w:szCs w:val="22"/>
        </w:rPr>
        <w:t xml:space="preserve"> is</w:t>
      </w:r>
      <w:r>
        <w:rPr>
          <w:rFonts w:asciiTheme="majorHAnsi" w:hAnsiTheme="majorHAnsi" w:cs="Calibri"/>
          <w:sz w:val="22"/>
          <w:szCs w:val="22"/>
        </w:rPr>
        <w:t xml:space="preserve"> distributed once a year and is calculated on the May balance</w:t>
      </w:r>
      <w:r w:rsidRPr="005C6217">
        <w:rPr>
          <w:rFonts w:asciiTheme="majorHAnsi" w:hAnsiTheme="majorHAnsi" w:cs="Calibri"/>
          <w:sz w:val="22"/>
          <w:szCs w:val="22"/>
        </w:rPr>
        <w:t>.</w:t>
      </w:r>
      <w:r>
        <w:rPr>
          <w:rFonts w:asciiTheme="majorHAnsi" w:hAnsiTheme="majorHAnsi" w:cs="Calibri"/>
          <w:sz w:val="22"/>
          <w:szCs w:val="22"/>
        </w:rPr>
        <w:t xml:space="preserve">  Please note: d</w:t>
      </w:r>
      <w:r w:rsidRPr="005C6217">
        <w:rPr>
          <w:rFonts w:asciiTheme="majorHAnsi" w:hAnsiTheme="majorHAnsi" w:cs="Calibri"/>
          <w:sz w:val="22"/>
          <w:szCs w:val="22"/>
        </w:rPr>
        <w:t>ue to</w:t>
      </w:r>
      <w:r>
        <w:rPr>
          <w:rFonts w:asciiTheme="majorHAnsi" w:hAnsiTheme="majorHAnsi" w:cs="Calibri"/>
          <w:sz w:val="22"/>
          <w:szCs w:val="22"/>
        </w:rPr>
        <w:t xml:space="preserve"> the</w:t>
      </w:r>
      <w:r w:rsidRPr="005C6217">
        <w:rPr>
          <w:rFonts w:asciiTheme="majorHAnsi" w:hAnsiTheme="majorHAnsi" w:cs="Calibri"/>
          <w:sz w:val="22"/>
          <w:szCs w:val="22"/>
        </w:rPr>
        <w:t xml:space="preserve"> PeopleSoft conversion, the transfer-in non-mandatory could be overstated for FY14.</w:t>
      </w:r>
      <w:r>
        <w:rPr>
          <w:rFonts w:asciiTheme="majorHAnsi" w:hAnsiTheme="majorHAnsi" w:cs="Calibri"/>
          <w:sz w:val="22"/>
          <w:szCs w:val="22"/>
        </w:rPr>
        <w:t xml:space="preserve">  In the SAS Budget Report we have included the carryforward amount from when we went live with PeopleSoft in the FY14 data.</w:t>
      </w:r>
    </w:p>
    <w:p w14:paraId="678DF0F9" w14:textId="77777777" w:rsidR="00402875" w:rsidRPr="00402875" w:rsidRDefault="00402875" w:rsidP="003B137D">
      <w:pPr>
        <w:overflowPunct/>
        <w:autoSpaceDE/>
        <w:autoSpaceDN/>
        <w:adjustRightInd/>
        <w:ind w:left="720"/>
        <w:textAlignment w:val="auto"/>
        <w:rPr>
          <w:rFonts w:asciiTheme="majorHAnsi" w:hAnsiTheme="majorHAnsi" w:cs="Calibri"/>
          <w:sz w:val="22"/>
          <w:szCs w:val="22"/>
        </w:rPr>
      </w:pPr>
    </w:p>
    <w:p w14:paraId="4B625F17" w14:textId="0792A27D" w:rsidR="00D35AA4" w:rsidRPr="00C7786A" w:rsidRDefault="00D35AA4" w:rsidP="003B137D">
      <w:pPr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ajorHAnsi" w:hAnsiTheme="majorHAnsi" w:cs="Calibri"/>
          <w:sz w:val="22"/>
          <w:szCs w:val="22"/>
        </w:rPr>
      </w:pPr>
      <w:r w:rsidRPr="005C6217">
        <w:rPr>
          <w:rFonts w:asciiTheme="majorHAnsi" w:hAnsiTheme="majorHAnsi" w:cs="Calibri"/>
          <w:b/>
          <w:sz w:val="22"/>
          <w:szCs w:val="22"/>
        </w:rPr>
        <w:t>Overhead</w:t>
      </w:r>
      <w:r w:rsidRPr="00C7786A">
        <w:rPr>
          <w:rFonts w:asciiTheme="majorHAnsi" w:hAnsiTheme="majorHAnsi" w:cs="Calibri"/>
          <w:sz w:val="22"/>
          <w:szCs w:val="22"/>
        </w:rPr>
        <w:t xml:space="preserve"> </w:t>
      </w:r>
      <w:r w:rsidRPr="008614C1">
        <w:rPr>
          <w:rFonts w:asciiTheme="majorHAnsi" w:hAnsiTheme="majorHAnsi" w:cs="Calibri"/>
          <w:sz w:val="22"/>
          <w:szCs w:val="22"/>
        </w:rPr>
        <w:t xml:space="preserve">– anticipate carry-forward </w:t>
      </w:r>
      <w:r w:rsidRPr="008614C1">
        <w:rPr>
          <w:rFonts w:asciiTheme="majorHAnsi" w:hAnsiTheme="majorHAnsi" w:cs="Calibri"/>
          <w:b/>
          <w:sz w:val="22"/>
          <w:szCs w:val="22"/>
        </w:rPr>
        <w:t>and</w:t>
      </w:r>
      <w:r w:rsidRPr="008614C1">
        <w:rPr>
          <w:rFonts w:asciiTheme="majorHAnsi" w:hAnsiTheme="majorHAnsi" w:cs="Calibri"/>
          <w:sz w:val="22"/>
          <w:szCs w:val="22"/>
        </w:rPr>
        <w:t xml:space="preserve"> permanent budget.</w:t>
      </w:r>
      <w:r>
        <w:rPr>
          <w:rFonts w:asciiTheme="majorHAnsi" w:hAnsiTheme="majorHAnsi" w:cs="Calibri"/>
          <w:sz w:val="22"/>
          <w:szCs w:val="22"/>
        </w:rPr>
        <w:t xml:space="preserve">  It is recommended to use the Indirect Cost report in School Reports to see your estimated FY</w:t>
      </w:r>
      <w:r w:rsidR="003B137D">
        <w:rPr>
          <w:rFonts w:asciiTheme="majorHAnsi" w:hAnsiTheme="majorHAnsi" w:cs="Calibri"/>
          <w:sz w:val="22"/>
          <w:szCs w:val="22"/>
        </w:rPr>
        <w:t>20</w:t>
      </w:r>
      <w:r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libri"/>
          <w:sz w:val="22"/>
          <w:szCs w:val="22"/>
        </w:rPr>
        <w:t>Indirects</w:t>
      </w:r>
      <w:proofErr w:type="spellEnd"/>
      <w:r>
        <w:rPr>
          <w:rFonts w:asciiTheme="majorHAnsi" w:hAnsiTheme="majorHAnsi" w:cs="Calibri"/>
          <w:sz w:val="22"/>
          <w:szCs w:val="22"/>
        </w:rPr>
        <w:t xml:space="preserve"> (Dept 15.6% Less Tax column).</w:t>
      </w:r>
      <w:r w:rsidR="00617309">
        <w:rPr>
          <w:rFonts w:asciiTheme="majorHAnsi" w:hAnsiTheme="majorHAnsi" w:cs="Calibri"/>
          <w:sz w:val="22"/>
          <w:szCs w:val="22"/>
        </w:rPr>
        <w:t xml:space="preserve">  </w:t>
      </w:r>
      <w:r w:rsidR="00617309" w:rsidRPr="00617309">
        <w:rPr>
          <w:rFonts w:asciiTheme="majorHAnsi" w:hAnsiTheme="majorHAnsi" w:cs="Calibri"/>
          <w:b/>
          <w:sz w:val="22"/>
          <w:szCs w:val="22"/>
        </w:rPr>
        <w:t>Please insert a s</w:t>
      </w:r>
      <w:r w:rsidR="00617309">
        <w:rPr>
          <w:rFonts w:asciiTheme="majorHAnsi" w:hAnsiTheme="majorHAnsi" w:cs="Calibri"/>
          <w:b/>
          <w:sz w:val="22"/>
          <w:szCs w:val="22"/>
        </w:rPr>
        <w:t>eparate row in the “Projected 20</w:t>
      </w:r>
      <w:r w:rsidR="003B137D">
        <w:rPr>
          <w:rFonts w:asciiTheme="majorHAnsi" w:hAnsiTheme="majorHAnsi" w:cs="Calibri"/>
          <w:b/>
          <w:sz w:val="22"/>
          <w:szCs w:val="22"/>
        </w:rPr>
        <w:t>20</w:t>
      </w:r>
      <w:r w:rsidR="00617309">
        <w:rPr>
          <w:rFonts w:asciiTheme="majorHAnsi" w:hAnsiTheme="majorHAnsi" w:cs="Calibri"/>
          <w:b/>
          <w:sz w:val="22"/>
          <w:szCs w:val="22"/>
        </w:rPr>
        <w:t xml:space="preserve"> Detail Adj” column for inputting carryforward. </w:t>
      </w:r>
    </w:p>
    <w:p w14:paraId="17E6DF02" w14:textId="77777777" w:rsidR="00402875" w:rsidRPr="00402875" w:rsidRDefault="00402875" w:rsidP="003B137D">
      <w:pPr>
        <w:tabs>
          <w:tab w:val="num" w:pos="1440"/>
        </w:tabs>
        <w:overflowPunct/>
        <w:autoSpaceDE/>
        <w:autoSpaceDN/>
        <w:adjustRightInd/>
        <w:ind w:left="720"/>
        <w:textAlignment w:val="auto"/>
        <w:rPr>
          <w:sz w:val="22"/>
        </w:rPr>
      </w:pPr>
    </w:p>
    <w:p w14:paraId="0F06078D" w14:textId="49067E69" w:rsidR="00D35AA4" w:rsidRPr="007330E3" w:rsidRDefault="00D35AA4" w:rsidP="003B137D">
      <w:pPr>
        <w:numPr>
          <w:ilvl w:val="0"/>
          <w:numId w:val="16"/>
        </w:numPr>
        <w:tabs>
          <w:tab w:val="num" w:pos="1440"/>
        </w:tabs>
        <w:overflowPunct/>
        <w:autoSpaceDE/>
        <w:autoSpaceDN/>
        <w:adjustRightInd/>
        <w:textAlignment w:val="auto"/>
        <w:rPr>
          <w:sz w:val="22"/>
        </w:rPr>
      </w:pPr>
      <w:r w:rsidRPr="007330E3">
        <w:rPr>
          <w:rFonts w:asciiTheme="majorHAnsi" w:hAnsiTheme="majorHAnsi" w:cs="Calibri"/>
          <w:b/>
          <w:sz w:val="22"/>
          <w:szCs w:val="22"/>
        </w:rPr>
        <w:t>State</w:t>
      </w:r>
      <w:r w:rsidRPr="007330E3">
        <w:rPr>
          <w:rFonts w:asciiTheme="majorHAnsi" w:hAnsiTheme="majorHAnsi" w:cs="Calibri"/>
          <w:sz w:val="22"/>
          <w:szCs w:val="22"/>
        </w:rPr>
        <w:t xml:space="preserve"> – </w:t>
      </w:r>
      <w:r w:rsidR="00875314" w:rsidRPr="007330E3">
        <w:rPr>
          <w:rFonts w:asciiTheme="majorHAnsi" w:hAnsiTheme="majorHAnsi" w:cs="Calibri"/>
          <w:sz w:val="22"/>
          <w:szCs w:val="22"/>
        </w:rPr>
        <w:t xml:space="preserve">your UME </w:t>
      </w:r>
      <w:r w:rsidR="001C4898" w:rsidRPr="007330E3">
        <w:rPr>
          <w:rFonts w:asciiTheme="majorHAnsi" w:hAnsiTheme="majorHAnsi" w:cs="Calibri"/>
          <w:sz w:val="22"/>
          <w:szCs w:val="22"/>
        </w:rPr>
        <w:t xml:space="preserve">dollar </w:t>
      </w:r>
      <w:r w:rsidR="00875314" w:rsidRPr="007330E3">
        <w:rPr>
          <w:rFonts w:asciiTheme="majorHAnsi" w:hAnsiTheme="majorHAnsi" w:cs="Calibri"/>
          <w:sz w:val="22"/>
          <w:szCs w:val="22"/>
        </w:rPr>
        <w:t>amount has already been entered into Strata</w:t>
      </w:r>
      <w:r w:rsidR="001C4898" w:rsidRPr="007330E3">
        <w:rPr>
          <w:rFonts w:asciiTheme="majorHAnsi" w:hAnsiTheme="majorHAnsi" w:cs="Calibri"/>
          <w:sz w:val="22"/>
          <w:szCs w:val="22"/>
        </w:rPr>
        <w:t xml:space="preserve"> in your “admin” department (01 department ID)</w:t>
      </w:r>
      <w:r w:rsidR="00875314" w:rsidRPr="007330E3">
        <w:rPr>
          <w:rFonts w:asciiTheme="majorHAnsi" w:hAnsiTheme="majorHAnsi" w:cs="Calibri"/>
          <w:sz w:val="22"/>
          <w:szCs w:val="22"/>
        </w:rPr>
        <w:t>.  This also includes fringe benefits (at a rate of 23%).  To see what was input, double click on the “Projected 20</w:t>
      </w:r>
      <w:r w:rsidR="003B137D" w:rsidRPr="007330E3">
        <w:rPr>
          <w:rFonts w:asciiTheme="majorHAnsi" w:hAnsiTheme="majorHAnsi" w:cs="Calibri"/>
          <w:sz w:val="22"/>
          <w:szCs w:val="22"/>
        </w:rPr>
        <w:t>20</w:t>
      </w:r>
      <w:r w:rsidR="00875314" w:rsidRPr="007330E3">
        <w:rPr>
          <w:rFonts w:asciiTheme="majorHAnsi" w:hAnsiTheme="majorHAnsi" w:cs="Calibri"/>
          <w:sz w:val="22"/>
          <w:szCs w:val="22"/>
        </w:rPr>
        <w:t xml:space="preserve"> Detail Adj” cell</w:t>
      </w:r>
      <w:r w:rsidR="00DD4616" w:rsidRPr="007330E3">
        <w:rPr>
          <w:rFonts w:asciiTheme="majorHAnsi" w:hAnsiTheme="majorHAnsi" w:cs="Calibri"/>
          <w:sz w:val="22"/>
          <w:szCs w:val="22"/>
        </w:rPr>
        <w:t>.</w:t>
      </w:r>
    </w:p>
    <w:p w14:paraId="755C6C0F" w14:textId="77777777" w:rsidR="00D35AA4" w:rsidRPr="006313FA" w:rsidRDefault="00D35AA4" w:rsidP="003B137D">
      <w:pPr>
        <w:rPr>
          <w:rFonts w:asciiTheme="majorHAnsi" w:hAnsiTheme="majorHAnsi" w:cs="Calibri"/>
          <w:sz w:val="8"/>
          <w:szCs w:val="22"/>
        </w:rPr>
      </w:pPr>
    </w:p>
    <w:p w14:paraId="75AA725C" w14:textId="77777777" w:rsidR="00D35AA4" w:rsidRPr="007C1F00" w:rsidRDefault="00D35AA4" w:rsidP="003B137D">
      <w:pPr>
        <w:jc w:val="center"/>
        <w:rPr>
          <w:rFonts w:asciiTheme="majorHAnsi" w:hAnsiTheme="majorHAnsi" w:cs="Calibri"/>
          <w:bCs/>
          <w:sz w:val="22"/>
          <w:szCs w:val="22"/>
        </w:rPr>
      </w:pPr>
    </w:p>
    <w:p w14:paraId="26F21774" w14:textId="77777777" w:rsidR="00D35AA4" w:rsidRDefault="00D35AA4" w:rsidP="003B137D">
      <w:pPr>
        <w:rPr>
          <w:rFonts w:asciiTheme="majorHAnsi" w:hAnsiTheme="majorHAnsi" w:cs="Calibri"/>
          <w:sz w:val="22"/>
          <w:szCs w:val="22"/>
        </w:rPr>
      </w:pPr>
    </w:p>
    <w:p w14:paraId="307A8380" w14:textId="77777777" w:rsidR="00683D30" w:rsidRPr="00BA1213" w:rsidRDefault="00683D30" w:rsidP="003B137D">
      <w:pPr>
        <w:tabs>
          <w:tab w:val="num" w:pos="1080"/>
        </w:tabs>
        <w:overflowPunct/>
        <w:autoSpaceDE/>
        <w:autoSpaceDN/>
        <w:adjustRightInd/>
        <w:spacing w:line="276" w:lineRule="auto"/>
        <w:textAlignment w:val="auto"/>
        <w:rPr>
          <w:noProof/>
          <w:sz w:val="28"/>
          <w:szCs w:val="22"/>
        </w:rPr>
      </w:pPr>
    </w:p>
    <w:sectPr w:rsidR="00683D30" w:rsidRPr="00BA1213" w:rsidSect="00821640">
      <w:headerReference w:type="first" r:id="rId25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69A0" w14:textId="77777777" w:rsidR="00430D09" w:rsidRDefault="00430D09">
      <w:r>
        <w:separator/>
      </w:r>
    </w:p>
  </w:endnote>
  <w:endnote w:type="continuationSeparator" w:id="0">
    <w:p w14:paraId="1C7BBFE2" w14:textId="77777777" w:rsidR="00430D09" w:rsidRDefault="0043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1BB4" w14:textId="77777777" w:rsidR="00430D09" w:rsidRDefault="00430D09">
      <w:r>
        <w:separator/>
      </w:r>
    </w:p>
  </w:footnote>
  <w:footnote w:type="continuationSeparator" w:id="0">
    <w:p w14:paraId="1D2A64FE" w14:textId="77777777" w:rsidR="00430D09" w:rsidRDefault="0043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257CD" w14:textId="77777777" w:rsidR="00683D30" w:rsidRDefault="00A11B32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FCB3EE3" wp14:editId="4338575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149475" cy="53340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-Physicians-Faculty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D30">
      <w:rPr>
        <w:noProof/>
      </w:rPr>
      <w:drawing>
        <wp:anchor distT="0" distB="0" distL="114300" distR="114300" simplePos="0" relativeHeight="251659776" behindDoc="0" locked="0" layoutInCell="1" allowOverlap="1" wp14:anchorId="637B8C61" wp14:editId="15C55509">
          <wp:simplePos x="0" y="0"/>
          <wp:positionH relativeFrom="column">
            <wp:posOffset>2200275</wp:posOffset>
          </wp:positionH>
          <wp:positionV relativeFrom="paragraph">
            <wp:posOffset>-203835</wp:posOffset>
          </wp:positionV>
          <wp:extent cx="2461260" cy="853440"/>
          <wp:effectExtent l="0" t="0" r="0" b="3810"/>
          <wp:wrapTopAndBottom/>
          <wp:docPr id="5" name="Picture 5" descr="Logo_UNC_SOM_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NC_SOM_5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E7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5BEE0B" wp14:editId="37C8098B">
              <wp:simplePos x="0" y="0"/>
              <wp:positionH relativeFrom="column">
                <wp:posOffset>4177665</wp:posOffset>
              </wp:positionH>
              <wp:positionV relativeFrom="paragraph">
                <wp:posOffset>-85725</wp:posOffset>
              </wp:positionV>
              <wp:extent cx="2628900" cy="66294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2E268" w14:textId="3683F14F" w:rsidR="00EC4A43" w:rsidRPr="00B55E7B" w:rsidRDefault="00454ED2" w:rsidP="00B55E7B">
                          <w:pPr>
                            <w:jc w:val="right"/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</w:pPr>
                          <w:r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F</w:t>
                          </w:r>
                          <w:r w:rsidR="00AF7753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 xml:space="preserve">iscal </w:t>
                          </w:r>
                          <w:r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Y</w:t>
                          </w:r>
                          <w:r w:rsidR="00AF7753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ear</w:t>
                          </w:r>
                          <w:r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683D30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3B137D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EC4A4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br/>
                          </w:r>
                          <w:r w:rsidR="00683D30" w:rsidRPr="00683D30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  <w:u w:val="single"/>
                            </w:rPr>
                            <w:t>ALL FUNDS</w:t>
                          </w:r>
                          <w:r w:rsidR="00683D30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EC4A4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 xml:space="preserve">Budget </w:t>
                          </w:r>
                          <w:r w:rsidR="00CF389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Input</w:t>
                          </w:r>
                          <w:r w:rsidR="00EC4A4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br/>
                            <w:t xml:space="preserve">SOM </w:t>
                          </w:r>
                          <w:r w:rsidR="00CF389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 xml:space="preserve">Clinical </w:t>
                          </w:r>
                          <w:r w:rsidR="00EC4A43" w:rsidRPr="00FE41B6">
                            <w:rPr>
                              <w:rFonts w:asciiTheme="majorHAnsi" w:hAnsiTheme="majorHAnsi" w:cs="Calibri"/>
                              <w:b/>
                              <w:sz w:val="26"/>
                              <w:szCs w:val="26"/>
                            </w:rPr>
                            <w:t>Departments</w:t>
                          </w:r>
                        </w:p>
                        <w:p w14:paraId="25545925" w14:textId="77777777" w:rsidR="00EC4A43" w:rsidRDefault="00EC4A43" w:rsidP="00A866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BE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95pt;margin-top:-6.75pt;width:207pt;height: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" stroked="f">
              <v:textbox>
                <w:txbxContent>
                  <w:p w14:paraId="1022E268" w14:textId="3683F14F" w:rsidR="00EC4A43" w:rsidRPr="00B55E7B" w:rsidRDefault="00454ED2" w:rsidP="00B55E7B">
                    <w:pPr>
                      <w:jc w:val="right"/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</w:pPr>
                    <w:r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F</w:t>
                    </w:r>
                    <w:r w:rsidR="00AF7753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 xml:space="preserve">iscal </w:t>
                    </w:r>
                    <w:r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Y</w:t>
                    </w:r>
                    <w:r w:rsidR="00AF7753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ear</w:t>
                    </w:r>
                    <w:r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 xml:space="preserve"> </w:t>
                    </w:r>
                    <w:r w:rsidR="00683D30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202</w:t>
                    </w:r>
                    <w:r w:rsidR="003B137D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1</w:t>
                    </w:r>
                    <w:r w:rsidR="00EC4A4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br/>
                    </w:r>
                    <w:r w:rsidR="00683D30" w:rsidRPr="00683D30">
                      <w:rPr>
                        <w:rFonts w:asciiTheme="majorHAnsi" w:hAnsiTheme="majorHAnsi" w:cs="Calibri"/>
                        <w:b/>
                        <w:sz w:val="26"/>
                        <w:szCs w:val="26"/>
                        <w:u w:val="single"/>
                      </w:rPr>
                      <w:t>ALL FUNDS</w:t>
                    </w:r>
                    <w:r w:rsidR="00683D30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 xml:space="preserve"> </w:t>
                    </w:r>
                    <w:r w:rsidR="00EC4A4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 xml:space="preserve">Budget </w:t>
                    </w:r>
                    <w:r w:rsidR="00CF389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Input</w:t>
                    </w:r>
                    <w:r w:rsidR="00EC4A4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br/>
                      <w:t xml:space="preserve">SOM </w:t>
                    </w:r>
                    <w:r w:rsidR="00CF389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 xml:space="preserve">Clinical </w:t>
                    </w:r>
                    <w:r w:rsidR="00EC4A43" w:rsidRPr="00FE41B6">
                      <w:rPr>
                        <w:rFonts w:asciiTheme="majorHAnsi" w:hAnsiTheme="majorHAnsi" w:cs="Calibri"/>
                        <w:b/>
                        <w:sz w:val="26"/>
                        <w:szCs w:val="26"/>
                      </w:rPr>
                      <w:t>Departments</w:t>
                    </w:r>
                  </w:p>
                  <w:p w14:paraId="25545925" w14:textId="77777777" w:rsidR="00EC4A43" w:rsidRDefault="00EC4A43" w:rsidP="00A8665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43C"/>
    <w:multiLevelType w:val="hybridMultilevel"/>
    <w:tmpl w:val="A79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B29"/>
    <w:multiLevelType w:val="hybridMultilevel"/>
    <w:tmpl w:val="2AC88E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3E5328"/>
    <w:multiLevelType w:val="hybridMultilevel"/>
    <w:tmpl w:val="C54C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10207"/>
    <w:multiLevelType w:val="hybridMultilevel"/>
    <w:tmpl w:val="85C0B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F668C8"/>
    <w:multiLevelType w:val="hybridMultilevel"/>
    <w:tmpl w:val="226E20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E74EB"/>
    <w:multiLevelType w:val="hybridMultilevel"/>
    <w:tmpl w:val="38B04A58"/>
    <w:lvl w:ilvl="0" w:tplc="06A42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000A9"/>
    <w:multiLevelType w:val="hybridMultilevel"/>
    <w:tmpl w:val="4DAA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65134"/>
    <w:multiLevelType w:val="hybridMultilevel"/>
    <w:tmpl w:val="D7F46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661392"/>
    <w:multiLevelType w:val="hybridMultilevel"/>
    <w:tmpl w:val="1A6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97EEB"/>
    <w:multiLevelType w:val="hybridMultilevel"/>
    <w:tmpl w:val="79FC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62D61"/>
    <w:multiLevelType w:val="hybridMultilevel"/>
    <w:tmpl w:val="55C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594"/>
    <w:multiLevelType w:val="hybridMultilevel"/>
    <w:tmpl w:val="170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1F67"/>
    <w:multiLevelType w:val="hybridMultilevel"/>
    <w:tmpl w:val="FA2AE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42DD2"/>
    <w:multiLevelType w:val="hybridMultilevel"/>
    <w:tmpl w:val="F454C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60B5F"/>
    <w:multiLevelType w:val="hybridMultilevel"/>
    <w:tmpl w:val="7D4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2650"/>
    <w:multiLevelType w:val="hybridMultilevel"/>
    <w:tmpl w:val="2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D3"/>
    <w:rsid w:val="000504BA"/>
    <w:rsid w:val="000524AC"/>
    <w:rsid w:val="000658C6"/>
    <w:rsid w:val="00066CAB"/>
    <w:rsid w:val="000723E8"/>
    <w:rsid w:val="000816BD"/>
    <w:rsid w:val="00083744"/>
    <w:rsid w:val="00086FE1"/>
    <w:rsid w:val="000957C2"/>
    <w:rsid w:val="000B336C"/>
    <w:rsid w:val="000D0AD3"/>
    <w:rsid w:val="000F32D9"/>
    <w:rsid w:val="000F5113"/>
    <w:rsid w:val="001301BA"/>
    <w:rsid w:val="0016465C"/>
    <w:rsid w:val="00165399"/>
    <w:rsid w:val="00171D9F"/>
    <w:rsid w:val="00174940"/>
    <w:rsid w:val="00181093"/>
    <w:rsid w:val="001A1F95"/>
    <w:rsid w:val="001B59E2"/>
    <w:rsid w:val="001C3C2A"/>
    <w:rsid w:val="001C40B1"/>
    <w:rsid w:val="001C4898"/>
    <w:rsid w:val="001C6026"/>
    <w:rsid w:val="001C6FB8"/>
    <w:rsid w:val="001E258D"/>
    <w:rsid w:val="001E7212"/>
    <w:rsid w:val="001F3818"/>
    <w:rsid w:val="001F5BD6"/>
    <w:rsid w:val="00222422"/>
    <w:rsid w:val="002228B9"/>
    <w:rsid w:val="00267B45"/>
    <w:rsid w:val="00270022"/>
    <w:rsid w:val="00270E05"/>
    <w:rsid w:val="002759EA"/>
    <w:rsid w:val="00281D1E"/>
    <w:rsid w:val="00297065"/>
    <w:rsid w:val="002B4973"/>
    <w:rsid w:val="002B520B"/>
    <w:rsid w:val="002C744F"/>
    <w:rsid w:val="002E63D4"/>
    <w:rsid w:val="002F745C"/>
    <w:rsid w:val="003250C9"/>
    <w:rsid w:val="00333AB3"/>
    <w:rsid w:val="00354303"/>
    <w:rsid w:val="003729E0"/>
    <w:rsid w:val="00374C46"/>
    <w:rsid w:val="003951A8"/>
    <w:rsid w:val="003A0E8F"/>
    <w:rsid w:val="003B137D"/>
    <w:rsid w:val="003B21B1"/>
    <w:rsid w:val="003B3314"/>
    <w:rsid w:val="003C1492"/>
    <w:rsid w:val="003F0297"/>
    <w:rsid w:val="003F4911"/>
    <w:rsid w:val="003F7FFB"/>
    <w:rsid w:val="00402875"/>
    <w:rsid w:val="00420FB1"/>
    <w:rsid w:val="00430D09"/>
    <w:rsid w:val="00441EE6"/>
    <w:rsid w:val="00454ED2"/>
    <w:rsid w:val="00477C2E"/>
    <w:rsid w:val="00485060"/>
    <w:rsid w:val="0048722E"/>
    <w:rsid w:val="00487DFF"/>
    <w:rsid w:val="004F0408"/>
    <w:rsid w:val="00521446"/>
    <w:rsid w:val="00566769"/>
    <w:rsid w:val="0057753A"/>
    <w:rsid w:val="00593788"/>
    <w:rsid w:val="005967BD"/>
    <w:rsid w:val="005A124F"/>
    <w:rsid w:val="005A2A18"/>
    <w:rsid w:val="005A3A68"/>
    <w:rsid w:val="005A3D02"/>
    <w:rsid w:val="005D4549"/>
    <w:rsid w:val="005E464C"/>
    <w:rsid w:val="00617309"/>
    <w:rsid w:val="006176B7"/>
    <w:rsid w:val="006220DA"/>
    <w:rsid w:val="006357FF"/>
    <w:rsid w:val="00663382"/>
    <w:rsid w:val="00683D30"/>
    <w:rsid w:val="006B3688"/>
    <w:rsid w:val="006B3CB1"/>
    <w:rsid w:val="006C5B64"/>
    <w:rsid w:val="006D6859"/>
    <w:rsid w:val="006E106D"/>
    <w:rsid w:val="006E74D7"/>
    <w:rsid w:val="006F3746"/>
    <w:rsid w:val="0072605F"/>
    <w:rsid w:val="007330E3"/>
    <w:rsid w:val="00745800"/>
    <w:rsid w:val="00747EF5"/>
    <w:rsid w:val="00796BA0"/>
    <w:rsid w:val="007A06CA"/>
    <w:rsid w:val="007A093C"/>
    <w:rsid w:val="007A28AC"/>
    <w:rsid w:val="007D2A5F"/>
    <w:rsid w:val="007D4512"/>
    <w:rsid w:val="007D5B45"/>
    <w:rsid w:val="007E0BD9"/>
    <w:rsid w:val="00821640"/>
    <w:rsid w:val="0082365D"/>
    <w:rsid w:val="00842BCE"/>
    <w:rsid w:val="008450D0"/>
    <w:rsid w:val="00851969"/>
    <w:rsid w:val="00865A77"/>
    <w:rsid w:val="008714A3"/>
    <w:rsid w:val="00875314"/>
    <w:rsid w:val="00891AA5"/>
    <w:rsid w:val="008965C8"/>
    <w:rsid w:val="0089717F"/>
    <w:rsid w:val="008D2E1F"/>
    <w:rsid w:val="008D7485"/>
    <w:rsid w:val="0090285D"/>
    <w:rsid w:val="0092538E"/>
    <w:rsid w:val="00932A66"/>
    <w:rsid w:val="009333A9"/>
    <w:rsid w:val="009534BD"/>
    <w:rsid w:val="00962666"/>
    <w:rsid w:val="00967B99"/>
    <w:rsid w:val="00984351"/>
    <w:rsid w:val="009927F1"/>
    <w:rsid w:val="009A7120"/>
    <w:rsid w:val="00A11B32"/>
    <w:rsid w:val="00A30238"/>
    <w:rsid w:val="00A51668"/>
    <w:rsid w:val="00A55CF7"/>
    <w:rsid w:val="00A65CEB"/>
    <w:rsid w:val="00A84E40"/>
    <w:rsid w:val="00A86659"/>
    <w:rsid w:val="00A91254"/>
    <w:rsid w:val="00A9515D"/>
    <w:rsid w:val="00A97CAC"/>
    <w:rsid w:val="00AA74FF"/>
    <w:rsid w:val="00AC194F"/>
    <w:rsid w:val="00AF0A97"/>
    <w:rsid w:val="00AF4096"/>
    <w:rsid w:val="00AF7753"/>
    <w:rsid w:val="00B202B0"/>
    <w:rsid w:val="00B36373"/>
    <w:rsid w:val="00B55E7B"/>
    <w:rsid w:val="00B72CB6"/>
    <w:rsid w:val="00B73B10"/>
    <w:rsid w:val="00BA1213"/>
    <w:rsid w:val="00BA6A7E"/>
    <w:rsid w:val="00BB2768"/>
    <w:rsid w:val="00BB2D8A"/>
    <w:rsid w:val="00BD564B"/>
    <w:rsid w:val="00BD5838"/>
    <w:rsid w:val="00C21104"/>
    <w:rsid w:val="00C23535"/>
    <w:rsid w:val="00C457A1"/>
    <w:rsid w:val="00C56343"/>
    <w:rsid w:val="00C65D88"/>
    <w:rsid w:val="00C756FC"/>
    <w:rsid w:val="00CA6C7E"/>
    <w:rsid w:val="00CC16B1"/>
    <w:rsid w:val="00CD7172"/>
    <w:rsid w:val="00CF3893"/>
    <w:rsid w:val="00D14F1E"/>
    <w:rsid w:val="00D235AB"/>
    <w:rsid w:val="00D35AA4"/>
    <w:rsid w:val="00D45CE8"/>
    <w:rsid w:val="00D63790"/>
    <w:rsid w:val="00D722BB"/>
    <w:rsid w:val="00D8284A"/>
    <w:rsid w:val="00DC19D8"/>
    <w:rsid w:val="00DD2513"/>
    <w:rsid w:val="00DD4616"/>
    <w:rsid w:val="00DD5419"/>
    <w:rsid w:val="00DE4565"/>
    <w:rsid w:val="00DE6962"/>
    <w:rsid w:val="00DF478C"/>
    <w:rsid w:val="00E259E4"/>
    <w:rsid w:val="00E330F1"/>
    <w:rsid w:val="00E41090"/>
    <w:rsid w:val="00E437D7"/>
    <w:rsid w:val="00E62A1D"/>
    <w:rsid w:val="00E97A5A"/>
    <w:rsid w:val="00EC4A43"/>
    <w:rsid w:val="00ED3A70"/>
    <w:rsid w:val="00EE2BBE"/>
    <w:rsid w:val="00EE6DA4"/>
    <w:rsid w:val="00EF18B3"/>
    <w:rsid w:val="00EF6F82"/>
    <w:rsid w:val="00F02170"/>
    <w:rsid w:val="00F05A78"/>
    <w:rsid w:val="00F23A5A"/>
    <w:rsid w:val="00F23C39"/>
    <w:rsid w:val="00F23E23"/>
    <w:rsid w:val="00F3411D"/>
    <w:rsid w:val="00F408B5"/>
    <w:rsid w:val="00F741D8"/>
    <w:rsid w:val="00F94D40"/>
    <w:rsid w:val="00F95D55"/>
    <w:rsid w:val="00FC1041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25690D5"/>
  <w15:docId w15:val="{02057D9B-3F0C-430C-BCF9-797A4C3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8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E258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2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58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96BA0"/>
    <w:rPr>
      <w:color w:val="0000FF"/>
      <w:u w:val="single"/>
    </w:rPr>
  </w:style>
  <w:style w:type="paragraph" w:styleId="BalloonText">
    <w:name w:val="Balloon Text"/>
    <w:basedOn w:val="Normal"/>
    <w:semiHidden/>
    <w:rsid w:val="005A2A18"/>
    <w:rPr>
      <w:rFonts w:ascii="Tahoma" w:hAnsi="Tahoma" w:cs="Tahoma"/>
      <w:sz w:val="16"/>
      <w:szCs w:val="16"/>
    </w:rPr>
  </w:style>
  <w:style w:type="character" w:styleId="HTMLTypewriter">
    <w:name w:val="HTML Typewriter"/>
    <w:rsid w:val="003F029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1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D2E1F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8D2E1F"/>
    <w:rPr>
      <w:sz w:val="24"/>
      <w:szCs w:val="24"/>
    </w:rPr>
  </w:style>
  <w:style w:type="character" w:styleId="FollowedHyperlink">
    <w:name w:val="FollowedHyperlink"/>
    <w:basedOn w:val="DefaultParagraphFont"/>
    <w:rsid w:val="00EF18B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62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22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0658C6"/>
    <w:rPr>
      <w:b/>
      <w:bCs/>
    </w:rPr>
  </w:style>
  <w:style w:type="paragraph" w:styleId="Title">
    <w:name w:val="Title"/>
    <w:basedOn w:val="Normal"/>
    <w:next w:val="Normal"/>
    <w:link w:val="TitleChar"/>
    <w:qFormat/>
    <w:rsid w:val="000658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58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tara_coble-herring@med.unc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10" Type="http://schemas.openxmlformats.org/officeDocument/2006/relationships/diagramQuickStyle" Target="diagrams/quickStyle1.xml"/><Relationship Id="rId19" Type="http://schemas.openxmlformats.org/officeDocument/2006/relationships/hyperlink" Target="mailto:tamala_gray@med.unc.edu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D7F4B-C517-4943-BF2C-C3A8D47A9A32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89A7D6D-0F19-4A84-85F2-800FC5CB91CF}">
      <dgm:prSet phldrT="[Text]"/>
      <dgm:spPr/>
      <dgm:t>
        <a:bodyPr/>
        <a:lstStyle/>
        <a:p>
          <a:r>
            <a:rPr lang="en-US" dirty="0">
              <a:latin typeface="+mj-lt"/>
            </a:rPr>
            <a:t>Dec 9 – Jan 13</a:t>
          </a:r>
        </a:p>
      </dgm:t>
    </dgm:pt>
    <dgm:pt modelId="{AC94E5B6-CA5B-4218-8D61-DE0BA630EEA4}" type="parTrans" cxnId="{24708AD0-AF2B-4D2D-A1D7-7DB5CC3F87B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34A3480-A61C-44DC-B6FA-A6AE2D2BBBDA}" type="sibTrans" cxnId="{24708AD0-AF2B-4D2D-A1D7-7DB5CC3F87B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5EE3865-C2FB-4BD0-B2E4-777A9A2F6998}">
      <dgm:prSet phldrT="[Text]"/>
      <dgm:spPr/>
      <dgm:t>
        <a:bodyPr/>
        <a:lstStyle/>
        <a:p>
          <a:r>
            <a:rPr lang="en-US" dirty="0">
              <a:latin typeface="+mj-lt"/>
            </a:rPr>
            <a:t>Departments to complete Faculty Roster Budgets (FRB)</a:t>
          </a:r>
        </a:p>
      </dgm:t>
    </dgm:pt>
    <dgm:pt modelId="{C2697DEC-E250-43C8-8577-31A5F55275D1}" type="parTrans" cxnId="{2BC19454-60F0-4115-AFC6-0BC7BB1F33B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B69BF76-912C-4E38-A369-F3F104E479D0}" type="sibTrans" cxnId="{2BC19454-60F0-4115-AFC6-0BC7BB1F33B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72F1107-A7ED-45A2-8718-843B422BB0AF}">
      <dgm:prSet phldrT="[Text]"/>
      <dgm:spPr/>
      <dgm:t>
        <a:bodyPr/>
        <a:lstStyle/>
        <a:p>
          <a:r>
            <a:rPr lang="en-US" dirty="0">
              <a:latin typeface="+mj-lt"/>
            </a:rPr>
            <a:t>Jan 15, 16</a:t>
          </a:r>
        </a:p>
      </dgm:t>
    </dgm:pt>
    <dgm:pt modelId="{B14B4CF7-D91A-4F0C-B088-0D82143AC525}" type="parTrans" cxnId="{972D9CC7-20B1-40A9-8A38-DA0D683F480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C277337-C7EF-4280-BB9D-8ADD8D42D575}" type="sibTrans" cxnId="{972D9CC7-20B1-40A9-8A38-DA0D683F480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2A0F645-559F-4005-85D6-7780E2F06155}">
      <dgm:prSet phldrT="[Text]"/>
      <dgm:spPr/>
      <dgm:t>
        <a:bodyPr/>
        <a:lstStyle/>
        <a:p>
          <a:r>
            <a:rPr lang="en-US" dirty="0">
              <a:latin typeface="+mj-lt"/>
            </a:rPr>
            <a:t>Strata training for SOM Clinical Departments</a:t>
          </a:r>
        </a:p>
      </dgm:t>
    </dgm:pt>
    <dgm:pt modelId="{4833B563-162C-4EEB-A62D-8450023915D5}" type="parTrans" cxnId="{5B284828-832E-4D49-8175-48D63CE0F99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92C2FB9-4E5E-4C15-8EB8-61A4E3809F19}" type="sibTrans" cxnId="{5B284828-832E-4D49-8175-48D63CE0F99C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FB4D6B0-0F27-42BF-946B-93EAF0DE3945}">
      <dgm:prSet phldrT="[Text]"/>
      <dgm:spPr/>
      <dgm:t>
        <a:bodyPr/>
        <a:lstStyle/>
        <a:p>
          <a:r>
            <a:rPr lang="en-US" dirty="0">
              <a:latin typeface="+mj-lt"/>
            </a:rPr>
            <a:t>Jan 21</a:t>
          </a:r>
        </a:p>
      </dgm:t>
    </dgm:pt>
    <dgm:pt modelId="{FEA170A8-009F-45CF-B8FA-61A218C97A78}" type="parTrans" cxnId="{2C7D9529-4ABB-4B17-A618-475C266A56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6A22E0B-023E-44C0-ACD2-C54930477992}" type="sibTrans" cxnId="{2C7D9529-4ABB-4B17-A618-475C266A56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5B6A875-522C-4E42-A51C-8C50509596AD}">
      <dgm:prSet phldrT="[Text]"/>
      <dgm:spPr/>
      <dgm:t>
        <a:bodyPr/>
        <a:lstStyle/>
        <a:p>
          <a:r>
            <a:rPr lang="en-US" dirty="0">
              <a:latin typeface="+mj-lt"/>
            </a:rPr>
            <a:t>Strata go-live date for SOM Clinical Departments</a:t>
          </a:r>
        </a:p>
      </dgm:t>
    </dgm:pt>
    <dgm:pt modelId="{EF3EB243-6791-4364-9FFB-71A61421BB59}" type="parTrans" cxnId="{1E923660-EB98-4A6D-A6E6-974729BF50FE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B64D20B-2A04-45B8-92D1-5D030A3D4EF6}" type="sibTrans" cxnId="{1E923660-EB98-4A6D-A6E6-974729BF50FE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5DBE293-AC9C-47C7-A482-5C33E185FC18}">
      <dgm:prSet phldrT="[Text]"/>
      <dgm:spPr/>
      <dgm:t>
        <a:bodyPr/>
        <a:lstStyle/>
        <a:p>
          <a:r>
            <a:rPr lang="en-US" b="1" dirty="0">
              <a:latin typeface="+mj-lt"/>
            </a:rPr>
            <a:t>DUE BY COB ON MONDAY,  JAN 13</a:t>
          </a:r>
        </a:p>
      </dgm:t>
    </dgm:pt>
    <dgm:pt modelId="{ABAA6F7D-F04D-4AF2-AAFC-47926265A153}" type="parTrans" cxnId="{B0C96AB0-33D2-4453-B7FE-1BE045175C6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A0CD7BA-459E-4423-AE60-B52B5DD25DF7}" type="sibTrans" cxnId="{B0C96AB0-33D2-4453-B7FE-1BE045175C6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F55280-87FF-4734-8AEB-8FF9E3033FDA}" type="pres">
      <dgm:prSet presAssocID="{56AD7F4B-C517-4943-BF2C-C3A8D47A9A32}" presName="linearFlow" presStyleCnt="0">
        <dgm:presLayoutVars>
          <dgm:dir/>
          <dgm:animLvl val="lvl"/>
          <dgm:resizeHandles val="exact"/>
        </dgm:presLayoutVars>
      </dgm:prSet>
      <dgm:spPr/>
    </dgm:pt>
    <dgm:pt modelId="{A4DB3352-D37E-45EC-B356-EF55A214743F}" type="pres">
      <dgm:prSet presAssocID="{C89A7D6D-0F19-4A84-85F2-800FC5CB91CF}" presName="composite" presStyleCnt="0"/>
      <dgm:spPr/>
    </dgm:pt>
    <dgm:pt modelId="{5492B0C3-66C5-487D-8B78-F3D85CA85800}" type="pres">
      <dgm:prSet presAssocID="{C89A7D6D-0F19-4A84-85F2-800FC5CB91C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DDAB62B-C979-4BEF-9D0D-517DAFB543F2}" type="pres">
      <dgm:prSet presAssocID="{C89A7D6D-0F19-4A84-85F2-800FC5CB91CF}" presName="parSh" presStyleLbl="node1" presStyleIdx="0" presStyleCnt="3"/>
      <dgm:spPr/>
    </dgm:pt>
    <dgm:pt modelId="{74110B90-8AF5-4F7B-ADAE-2E0418788A06}" type="pres">
      <dgm:prSet presAssocID="{C89A7D6D-0F19-4A84-85F2-800FC5CB91CF}" presName="desTx" presStyleLbl="fgAcc1" presStyleIdx="0" presStyleCnt="3">
        <dgm:presLayoutVars>
          <dgm:bulletEnabled val="1"/>
        </dgm:presLayoutVars>
      </dgm:prSet>
      <dgm:spPr/>
    </dgm:pt>
    <dgm:pt modelId="{CC2AED8A-35D3-44FA-9EA5-1C73CE8E33C6}" type="pres">
      <dgm:prSet presAssocID="{F34A3480-A61C-44DC-B6FA-A6AE2D2BBBDA}" presName="sibTrans" presStyleLbl="sibTrans2D1" presStyleIdx="0" presStyleCnt="2"/>
      <dgm:spPr/>
    </dgm:pt>
    <dgm:pt modelId="{0F970DDC-4944-48B6-A4D9-CB0665BEFABB}" type="pres">
      <dgm:prSet presAssocID="{F34A3480-A61C-44DC-B6FA-A6AE2D2BBBDA}" presName="connTx" presStyleLbl="sibTrans2D1" presStyleIdx="0" presStyleCnt="2"/>
      <dgm:spPr/>
    </dgm:pt>
    <dgm:pt modelId="{A76ADBAB-2F07-490E-ACF8-96BE1CC8A4BA}" type="pres">
      <dgm:prSet presAssocID="{072F1107-A7ED-45A2-8718-843B422BB0AF}" presName="composite" presStyleCnt="0"/>
      <dgm:spPr/>
    </dgm:pt>
    <dgm:pt modelId="{54EB6597-6AAB-4BD2-B3D4-C78B552899C2}" type="pres">
      <dgm:prSet presAssocID="{072F1107-A7ED-45A2-8718-843B422BB0A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61AA637-15CD-4D41-951F-32F8BFD0258E}" type="pres">
      <dgm:prSet presAssocID="{072F1107-A7ED-45A2-8718-843B422BB0AF}" presName="parSh" presStyleLbl="node1" presStyleIdx="1" presStyleCnt="3"/>
      <dgm:spPr/>
    </dgm:pt>
    <dgm:pt modelId="{23DB6AAD-653B-4B4D-995D-D0980A39B79C}" type="pres">
      <dgm:prSet presAssocID="{072F1107-A7ED-45A2-8718-843B422BB0AF}" presName="desTx" presStyleLbl="fgAcc1" presStyleIdx="1" presStyleCnt="3">
        <dgm:presLayoutVars>
          <dgm:bulletEnabled val="1"/>
        </dgm:presLayoutVars>
      </dgm:prSet>
      <dgm:spPr/>
    </dgm:pt>
    <dgm:pt modelId="{83D37421-689A-4D44-A044-2E7F22579091}" type="pres">
      <dgm:prSet presAssocID="{7C277337-C7EF-4280-BB9D-8ADD8D42D575}" presName="sibTrans" presStyleLbl="sibTrans2D1" presStyleIdx="1" presStyleCnt="2"/>
      <dgm:spPr/>
    </dgm:pt>
    <dgm:pt modelId="{B9C40895-640D-4A5B-833E-BB2674820FD2}" type="pres">
      <dgm:prSet presAssocID="{7C277337-C7EF-4280-BB9D-8ADD8D42D575}" presName="connTx" presStyleLbl="sibTrans2D1" presStyleIdx="1" presStyleCnt="2"/>
      <dgm:spPr/>
    </dgm:pt>
    <dgm:pt modelId="{9C6305C1-3BAE-47F4-A623-F28EBD1F12E9}" type="pres">
      <dgm:prSet presAssocID="{EFB4D6B0-0F27-42BF-946B-93EAF0DE3945}" presName="composite" presStyleCnt="0"/>
      <dgm:spPr/>
    </dgm:pt>
    <dgm:pt modelId="{F6DE3C7C-6834-4920-87D1-6733585D8CC9}" type="pres">
      <dgm:prSet presAssocID="{EFB4D6B0-0F27-42BF-946B-93EAF0DE3945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A9237FB5-7879-42D6-B895-138D038DB697}" type="pres">
      <dgm:prSet presAssocID="{EFB4D6B0-0F27-42BF-946B-93EAF0DE3945}" presName="parSh" presStyleLbl="node1" presStyleIdx="2" presStyleCnt="3"/>
      <dgm:spPr/>
    </dgm:pt>
    <dgm:pt modelId="{5ED1201D-8624-45E8-A0DF-E965E8771AF8}" type="pres">
      <dgm:prSet presAssocID="{EFB4D6B0-0F27-42BF-946B-93EAF0DE3945}" presName="desTx" presStyleLbl="fgAcc1" presStyleIdx="2" presStyleCnt="3">
        <dgm:presLayoutVars>
          <dgm:bulletEnabled val="1"/>
        </dgm:presLayoutVars>
      </dgm:prSet>
      <dgm:spPr/>
    </dgm:pt>
  </dgm:ptLst>
  <dgm:cxnLst>
    <dgm:cxn modelId="{A45A4E09-CFED-4BC2-A96B-D9C9D21B404A}" type="presOf" srcId="{F34A3480-A61C-44DC-B6FA-A6AE2D2BBBDA}" destId="{0F970DDC-4944-48B6-A4D9-CB0665BEFABB}" srcOrd="1" destOrd="0" presId="urn:microsoft.com/office/officeart/2005/8/layout/process3"/>
    <dgm:cxn modelId="{5D4B1C0C-F5C9-4B0F-BF7E-4E0DF856ACBC}" type="presOf" srcId="{D5DBE293-AC9C-47C7-A482-5C33E185FC18}" destId="{74110B90-8AF5-4F7B-ADAE-2E0418788A06}" srcOrd="0" destOrd="1" presId="urn:microsoft.com/office/officeart/2005/8/layout/process3"/>
    <dgm:cxn modelId="{209EF80C-7965-48BC-947B-BEBD4906A877}" type="presOf" srcId="{C89A7D6D-0F19-4A84-85F2-800FC5CB91CF}" destId="{5492B0C3-66C5-487D-8B78-F3D85CA85800}" srcOrd="0" destOrd="0" presId="urn:microsoft.com/office/officeart/2005/8/layout/process3"/>
    <dgm:cxn modelId="{C043670E-7D38-4B3F-9178-3F6D842476ED}" type="presOf" srcId="{7C277337-C7EF-4280-BB9D-8ADD8D42D575}" destId="{83D37421-689A-4D44-A044-2E7F22579091}" srcOrd="0" destOrd="0" presId="urn:microsoft.com/office/officeart/2005/8/layout/process3"/>
    <dgm:cxn modelId="{9484DE16-83B2-4C36-A947-5DBE4B248D56}" type="presOf" srcId="{56AD7F4B-C517-4943-BF2C-C3A8D47A9A32}" destId="{38F55280-87FF-4734-8AEB-8FF9E3033FDA}" srcOrd="0" destOrd="0" presId="urn:microsoft.com/office/officeart/2005/8/layout/process3"/>
    <dgm:cxn modelId="{5B284828-832E-4D49-8175-48D63CE0F99C}" srcId="{072F1107-A7ED-45A2-8718-843B422BB0AF}" destId="{62A0F645-559F-4005-85D6-7780E2F06155}" srcOrd="0" destOrd="0" parTransId="{4833B563-162C-4EEB-A62D-8450023915D5}" sibTransId="{092C2FB9-4E5E-4C15-8EB8-61A4E3809F19}"/>
    <dgm:cxn modelId="{2C7D9529-4ABB-4B17-A618-475C266A5675}" srcId="{56AD7F4B-C517-4943-BF2C-C3A8D47A9A32}" destId="{EFB4D6B0-0F27-42BF-946B-93EAF0DE3945}" srcOrd="2" destOrd="0" parTransId="{FEA170A8-009F-45CF-B8FA-61A218C97A78}" sibTransId="{E6A22E0B-023E-44C0-ACD2-C54930477992}"/>
    <dgm:cxn modelId="{2E94DE39-77D5-4B79-BA6C-DC3CC18AB42D}" type="presOf" srcId="{072F1107-A7ED-45A2-8718-843B422BB0AF}" destId="{661AA637-15CD-4D41-951F-32F8BFD0258E}" srcOrd="1" destOrd="0" presId="urn:microsoft.com/office/officeart/2005/8/layout/process3"/>
    <dgm:cxn modelId="{78F0CD3D-DAEE-42F1-9118-539E78797A57}" type="presOf" srcId="{F34A3480-A61C-44DC-B6FA-A6AE2D2BBBDA}" destId="{CC2AED8A-35D3-44FA-9EA5-1C73CE8E33C6}" srcOrd="0" destOrd="0" presId="urn:microsoft.com/office/officeart/2005/8/layout/process3"/>
    <dgm:cxn modelId="{553B475D-96EA-4A3E-B09E-662D41494BE6}" type="presOf" srcId="{95EE3865-C2FB-4BD0-B2E4-777A9A2F6998}" destId="{74110B90-8AF5-4F7B-ADAE-2E0418788A06}" srcOrd="0" destOrd="0" presId="urn:microsoft.com/office/officeart/2005/8/layout/process3"/>
    <dgm:cxn modelId="{1E923660-EB98-4A6D-A6E6-974729BF50FE}" srcId="{EFB4D6B0-0F27-42BF-946B-93EAF0DE3945}" destId="{15B6A875-522C-4E42-A51C-8C50509596AD}" srcOrd="0" destOrd="0" parTransId="{EF3EB243-6791-4364-9FFB-71A61421BB59}" sibTransId="{DB64D20B-2A04-45B8-92D1-5D030A3D4EF6}"/>
    <dgm:cxn modelId="{224BFE66-B6F6-4668-AC27-CEE659A752E0}" type="presOf" srcId="{C89A7D6D-0F19-4A84-85F2-800FC5CB91CF}" destId="{ADDAB62B-C979-4BEF-9D0D-517DAFB543F2}" srcOrd="1" destOrd="0" presId="urn:microsoft.com/office/officeart/2005/8/layout/process3"/>
    <dgm:cxn modelId="{3C1D7C4E-CBE8-4E0A-963A-DC6E3EE1C669}" type="presOf" srcId="{15B6A875-522C-4E42-A51C-8C50509596AD}" destId="{5ED1201D-8624-45E8-A0DF-E965E8771AF8}" srcOrd="0" destOrd="0" presId="urn:microsoft.com/office/officeart/2005/8/layout/process3"/>
    <dgm:cxn modelId="{68BBB052-2951-438E-9222-2E04B9938CE0}" type="presOf" srcId="{072F1107-A7ED-45A2-8718-843B422BB0AF}" destId="{54EB6597-6AAB-4BD2-B3D4-C78B552899C2}" srcOrd="0" destOrd="0" presId="urn:microsoft.com/office/officeart/2005/8/layout/process3"/>
    <dgm:cxn modelId="{2BC19454-60F0-4115-AFC6-0BC7BB1F33B7}" srcId="{C89A7D6D-0F19-4A84-85F2-800FC5CB91CF}" destId="{95EE3865-C2FB-4BD0-B2E4-777A9A2F6998}" srcOrd="0" destOrd="0" parTransId="{C2697DEC-E250-43C8-8577-31A5F55275D1}" sibTransId="{EB69BF76-912C-4E38-A369-F3F104E479D0}"/>
    <dgm:cxn modelId="{0F3CBE57-CAF7-41E1-A28A-DC7C80932DCE}" type="presOf" srcId="{EFB4D6B0-0F27-42BF-946B-93EAF0DE3945}" destId="{F6DE3C7C-6834-4920-87D1-6733585D8CC9}" srcOrd="0" destOrd="0" presId="urn:microsoft.com/office/officeart/2005/8/layout/process3"/>
    <dgm:cxn modelId="{A31152A7-6E56-4132-AFD2-02788278ACDD}" type="presOf" srcId="{62A0F645-559F-4005-85D6-7780E2F06155}" destId="{23DB6AAD-653B-4B4D-995D-D0980A39B79C}" srcOrd="0" destOrd="0" presId="urn:microsoft.com/office/officeart/2005/8/layout/process3"/>
    <dgm:cxn modelId="{B0C96AB0-33D2-4453-B7FE-1BE045175C63}" srcId="{C89A7D6D-0F19-4A84-85F2-800FC5CB91CF}" destId="{D5DBE293-AC9C-47C7-A482-5C33E185FC18}" srcOrd="1" destOrd="0" parTransId="{ABAA6F7D-F04D-4AF2-AAFC-47926265A153}" sibTransId="{0A0CD7BA-459E-4423-AE60-B52B5DD25DF7}"/>
    <dgm:cxn modelId="{972D9CC7-20B1-40A9-8A38-DA0D683F480C}" srcId="{56AD7F4B-C517-4943-BF2C-C3A8D47A9A32}" destId="{072F1107-A7ED-45A2-8718-843B422BB0AF}" srcOrd="1" destOrd="0" parTransId="{B14B4CF7-D91A-4F0C-B088-0D82143AC525}" sibTransId="{7C277337-C7EF-4280-BB9D-8ADD8D42D575}"/>
    <dgm:cxn modelId="{24708AD0-AF2B-4D2D-A1D7-7DB5CC3F87B1}" srcId="{56AD7F4B-C517-4943-BF2C-C3A8D47A9A32}" destId="{C89A7D6D-0F19-4A84-85F2-800FC5CB91CF}" srcOrd="0" destOrd="0" parTransId="{AC94E5B6-CA5B-4218-8D61-DE0BA630EEA4}" sibTransId="{F34A3480-A61C-44DC-B6FA-A6AE2D2BBBDA}"/>
    <dgm:cxn modelId="{2D7233D8-DBF7-4348-8450-0AB8FBD0C1BF}" type="presOf" srcId="{7C277337-C7EF-4280-BB9D-8ADD8D42D575}" destId="{B9C40895-640D-4A5B-833E-BB2674820FD2}" srcOrd="1" destOrd="0" presId="urn:microsoft.com/office/officeart/2005/8/layout/process3"/>
    <dgm:cxn modelId="{364A21EB-5419-4DC5-B758-BC05F03086A6}" type="presOf" srcId="{EFB4D6B0-0F27-42BF-946B-93EAF0DE3945}" destId="{A9237FB5-7879-42D6-B895-138D038DB697}" srcOrd="1" destOrd="0" presId="urn:microsoft.com/office/officeart/2005/8/layout/process3"/>
    <dgm:cxn modelId="{25541330-6FDB-46F5-AFAF-64F08E9F0295}" type="presParOf" srcId="{38F55280-87FF-4734-8AEB-8FF9E3033FDA}" destId="{A4DB3352-D37E-45EC-B356-EF55A214743F}" srcOrd="0" destOrd="0" presId="urn:microsoft.com/office/officeart/2005/8/layout/process3"/>
    <dgm:cxn modelId="{19F324F2-9F7D-4C18-AE13-F228A2957ACD}" type="presParOf" srcId="{A4DB3352-D37E-45EC-B356-EF55A214743F}" destId="{5492B0C3-66C5-487D-8B78-F3D85CA85800}" srcOrd="0" destOrd="0" presId="urn:microsoft.com/office/officeart/2005/8/layout/process3"/>
    <dgm:cxn modelId="{1D701E1A-85A7-4741-8159-E5616F737331}" type="presParOf" srcId="{A4DB3352-D37E-45EC-B356-EF55A214743F}" destId="{ADDAB62B-C979-4BEF-9D0D-517DAFB543F2}" srcOrd="1" destOrd="0" presId="urn:microsoft.com/office/officeart/2005/8/layout/process3"/>
    <dgm:cxn modelId="{0FCF32D6-9A42-48E9-9FB1-D4DA6BFC500C}" type="presParOf" srcId="{A4DB3352-D37E-45EC-B356-EF55A214743F}" destId="{74110B90-8AF5-4F7B-ADAE-2E0418788A06}" srcOrd="2" destOrd="0" presId="urn:microsoft.com/office/officeart/2005/8/layout/process3"/>
    <dgm:cxn modelId="{CD0701C2-E759-4C32-90FC-2B57B61A16DB}" type="presParOf" srcId="{38F55280-87FF-4734-8AEB-8FF9E3033FDA}" destId="{CC2AED8A-35D3-44FA-9EA5-1C73CE8E33C6}" srcOrd="1" destOrd="0" presId="urn:microsoft.com/office/officeart/2005/8/layout/process3"/>
    <dgm:cxn modelId="{69B772CA-3DF4-432A-8795-7E2A14F0FAE7}" type="presParOf" srcId="{CC2AED8A-35D3-44FA-9EA5-1C73CE8E33C6}" destId="{0F970DDC-4944-48B6-A4D9-CB0665BEFABB}" srcOrd="0" destOrd="0" presId="urn:microsoft.com/office/officeart/2005/8/layout/process3"/>
    <dgm:cxn modelId="{A5DB1DF6-7FAD-4BFB-9F2B-CFE7F2E648A9}" type="presParOf" srcId="{38F55280-87FF-4734-8AEB-8FF9E3033FDA}" destId="{A76ADBAB-2F07-490E-ACF8-96BE1CC8A4BA}" srcOrd="2" destOrd="0" presId="urn:microsoft.com/office/officeart/2005/8/layout/process3"/>
    <dgm:cxn modelId="{DC8E6737-1270-439B-B63F-4147FED77B91}" type="presParOf" srcId="{A76ADBAB-2F07-490E-ACF8-96BE1CC8A4BA}" destId="{54EB6597-6AAB-4BD2-B3D4-C78B552899C2}" srcOrd="0" destOrd="0" presId="urn:microsoft.com/office/officeart/2005/8/layout/process3"/>
    <dgm:cxn modelId="{A3C6136B-B23B-4A2F-BDF6-1E59A54A6F0F}" type="presParOf" srcId="{A76ADBAB-2F07-490E-ACF8-96BE1CC8A4BA}" destId="{661AA637-15CD-4D41-951F-32F8BFD0258E}" srcOrd="1" destOrd="0" presId="urn:microsoft.com/office/officeart/2005/8/layout/process3"/>
    <dgm:cxn modelId="{7D129F42-E4F8-45C6-A408-03F4D38C25E1}" type="presParOf" srcId="{A76ADBAB-2F07-490E-ACF8-96BE1CC8A4BA}" destId="{23DB6AAD-653B-4B4D-995D-D0980A39B79C}" srcOrd="2" destOrd="0" presId="urn:microsoft.com/office/officeart/2005/8/layout/process3"/>
    <dgm:cxn modelId="{1A6BA287-6254-4F29-BA50-D634ACF7753A}" type="presParOf" srcId="{38F55280-87FF-4734-8AEB-8FF9E3033FDA}" destId="{83D37421-689A-4D44-A044-2E7F22579091}" srcOrd="3" destOrd="0" presId="urn:microsoft.com/office/officeart/2005/8/layout/process3"/>
    <dgm:cxn modelId="{68538005-F8D8-4333-9546-F07816DBD279}" type="presParOf" srcId="{83D37421-689A-4D44-A044-2E7F22579091}" destId="{B9C40895-640D-4A5B-833E-BB2674820FD2}" srcOrd="0" destOrd="0" presId="urn:microsoft.com/office/officeart/2005/8/layout/process3"/>
    <dgm:cxn modelId="{4A383A18-1D42-4247-957A-A8731584B5A8}" type="presParOf" srcId="{38F55280-87FF-4734-8AEB-8FF9E3033FDA}" destId="{9C6305C1-3BAE-47F4-A623-F28EBD1F12E9}" srcOrd="4" destOrd="0" presId="urn:microsoft.com/office/officeart/2005/8/layout/process3"/>
    <dgm:cxn modelId="{B7B9FF2D-C19E-41AA-8657-AFF61146A7B7}" type="presParOf" srcId="{9C6305C1-3BAE-47F4-A623-F28EBD1F12E9}" destId="{F6DE3C7C-6834-4920-87D1-6733585D8CC9}" srcOrd="0" destOrd="0" presId="urn:microsoft.com/office/officeart/2005/8/layout/process3"/>
    <dgm:cxn modelId="{06679C26-98CA-4D69-BB7B-0D4A38E9D4C0}" type="presParOf" srcId="{9C6305C1-3BAE-47F4-A623-F28EBD1F12E9}" destId="{A9237FB5-7879-42D6-B895-138D038DB697}" srcOrd="1" destOrd="0" presId="urn:microsoft.com/office/officeart/2005/8/layout/process3"/>
    <dgm:cxn modelId="{A24A29E6-5971-4780-A3DC-FFE2AA62622A}" type="presParOf" srcId="{9C6305C1-3BAE-47F4-A623-F28EBD1F12E9}" destId="{5ED1201D-8624-45E8-A0DF-E965E8771AF8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AD7F4B-C517-4943-BF2C-C3A8D47A9A32}" type="doc">
      <dgm:prSet loTypeId="urn:microsoft.com/office/officeart/2005/8/layout/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0B75C5E-6FF1-4360-9097-CC493A5C169D}">
      <dgm:prSet/>
      <dgm:spPr/>
      <dgm:t>
        <a:bodyPr/>
        <a:lstStyle/>
        <a:p>
          <a:r>
            <a:rPr lang="en-US" dirty="0">
              <a:latin typeface="+mj-lt"/>
            </a:rPr>
            <a:t>Feb 18</a:t>
          </a:r>
        </a:p>
      </dgm:t>
    </dgm:pt>
    <dgm:pt modelId="{4D631FE5-0BF8-402F-AC0A-2116A8187C17}" type="parTrans" cxnId="{A4C69063-81B8-4522-AC52-74D0BEBC23D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6DD527E-8D79-4F62-8047-2F12F71B08ED}" type="sibTrans" cxnId="{A4C69063-81B8-4522-AC52-74D0BEBC23D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168B827-FB9C-4AC9-83EC-CBDBC8BA4A75}">
      <dgm:prSet/>
      <dgm:spPr/>
      <dgm:t>
        <a:bodyPr/>
        <a:lstStyle/>
        <a:p>
          <a:r>
            <a:rPr lang="en-US" b="1" dirty="0">
              <a:latin typeface="+mj-lt"/>
            </a:rPr>
            <a:t>ALL</a:t>
          </a:r>
          <a:r>
            <a:rPr lang="en-US" dirty="0">
              <a:latin typeface="+mj-lt"/>
            </a:rPr>
            <a:t> funds budgets due</a:t>
          </a:r>
        </a:p>
      </dgm:t>
    </dgm:pt>
    <dgm:pt modelId="{71A7E304-2C98-430B-A290-2FF02227C71B}" type="parTrans" cxnId="{F6426F6B-53E9-4891-AC26-2C73397FA62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D071CE1-23CB-4163-9AEE-6F7C03EF6549}" type="sibTrans" cxnId="{F6426F6B-53E9-4891-AC26-2C73397FA62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7A51D0E-9913-46A3-8B8A-132B4C748C86}">
      <dgm:prSet/>
      <dgm:spPr/>
      <dgm:t>
        <a:bodyPr/>
        <a:lstStyle/>
        <a:p>
          <a:r>
            <a:rPr lang="en-US" dirty="0">
              <a:latin typeface="+mj-lt"/>
            </a:rPr>
            <a:t>FINAL budget hearings with leadership</a:t>
          </a:r>
        </a:p>
      </dgm:t>
    </dgm:pt>
    <dgm:pt modelId="{8E3B637B-0C57-40E1-AC98-826C444548AB}" type="parTrans" cxnId="{A5A124EE-21C7-4A9F-B2F2-33D345B6746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178566D-A998-4B65-A744-C0588D0A8A66}" type="sibTrans" cxnId="{A5A124EE-21C7-4A9F-B2F2-33D345B6746B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D5EF5E1-60A6-4356-A65F-9306274DE190}">
      <dgm:prSet/>
      <dgm:spPr/>
      <dgm:t>
        <a:bodyPr/>
        <a:lstStyle/>
        <a:p>
          <a:r>
            <a:rPr lang="en-US" dirty="0">
              <a:latin typeface="+mj-lt"/>
            </a:rPr>
            <a:t>Feb 24-28</a:t>
          </a:r>
        </a:p>
      </dgm:t>
    </dgm:pt>
    <dgm:pt modelId="{67527968-942E-4BE4-91B2-ED28BC2A55C4}" type="parTrans" cxnId="{52D40C88-010A-4B75-88E6-FCA9473BE75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B28FDB4-C883-45F3-814A-D728634AF85A}" type="sibTrans" cxnId="{52D40C88-010A-4B75-88E6-FCA9473BE75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0DCA5B5-C667-4972-9DBB-728B0452B710}">
      <dgm:prSet/>
      <dgm:spPr/>
      <dgm:t>
        <a:bodyPr/>
        <a:lstStyle/>
        <a:p>
          <a:r>
            <a:rPr lang="en-US" dirty="0">
              <a:latin typeface="+mj-lt"/>
            </a:rPr>
            <a:t>Budget pre-meetings with departmental finance</a:t>
          </a:r>
        </a:p>
      </dgm:t>
    </dgm:pt>
    <dgm:pt modelId="{7383F6AB-4CC9-48CF-9CCE-0A08D537A53C}" type="parTrans" cxnId="{1AC30D11-B62E-4663-9781-61BC201484D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2CC86AC-7676-45D0-A848-ABBB2B65DEAA}" type="sibTrans" cxnId="{1AC30D11-B62E-4663-9781-61BC201484DA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2B4C678-92C9-47A1-9FB5-C2D6BB761249}">
      <dgm:prSet/>
      <dgm:spPr/>
      <dgm:t>
        <a:bodyPr/>
        <a:lstStyle/>
        <a:p>
          <a:r>
            <a:rPr lang="en-US" dirty="0">
              <a:latin typeface="+mj-lt"/>
            </a:rPr>
            <a:t>Mar 23-27</a:t>
          </a:r>
        </a:p>
      </dgm:t>
    </dgm:pt>
    <dgm:pt modelId="{6855512B-5DB8-4459-9BE0-2AC3003692E6}" type="parTrans" cxnId="{C8D48321-7D0A-4CDA-A398-4C849D5AAE9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AC6CABC-387E-44CA-BE9A-4399EF3FE32B}" type="sibTrans" cxnId="{C8D48321-7D0A-4CDA-A398-4C849D5AAE9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8F55280-87FF-4734-8AEB-8FF9E3033FDA}" type="pres">
      <dgm:prSet presAssocID="{56AD7F4B-C517-4943-BF2C-C3A8D47A9A32}" presName="linearFlow" presStyleCnt="0">
        <dgm:presLayoutVars>
          <dgm:dir/>
          <dgm:animLvl val="lvl"/>
          <dgm:resizeHandles val="exact"/>
        </dgm:presLayoutVars>
      </dgm:prSet>
      <dgm:spPr/>
    </dgm:pt>
    <dgm:pt modelId="{4E2BA58A-E685-45D5-B164-80EC6335FB6B}" type="pres">
      <dgm:prSet presAssocID="{B0B75C5E-6FF1-4360-9097-CC493A5C169D}" presName="composite" presStyleCnt="0"/>
      <dgm:spPr/>
    </dgm:pt>
    <dgm:pt modelId="{8CC3F75A-550F-4002-9FFF-7C89ABA97069}" type="pres">
      <dgm:prSet presAssocID="{B0B75C5E-6FF1-4360-9097-CC493A5C169D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672A981-33C9-4EFC-9559-7EEB360132F4}" type="pres">
      <dgm:prSet presAssocID="{B0B75C5E-6FF1-4360-9097-CC493A5C169D}" presName="parSh" presStyleLbl="node1" presStyleIdx="0" presStyleCnt="3"/>
      <dgm:spPr/>
    </dgm:pt>
    <dgm:pt modelId="{097B7A33-7FA2-4A06-BE9E-21C5154D4121}" type="pres">
      <dgm:prSet presAssocID="{B0B75C5E-6FF1-4360-9097-CC493A5C169D}" presName="desTx" presStyleLbl="fgAcc1" presStyleIdx="0" presStyleCnt="3">
        <dgm:presLayoutVars>
          <dgm:bulletEnabled val="1"/>
        </dgm:presLayoutVars>
      </dgm:prSet>
      <dgm:spPr/>
    </dgm:pt>
    <dgm:pt modelId="{065D5229-7AAE-44A4-A260-0678D2BAAD70}" type="pres">
      <dgm:prSet presAssocID="{76DD527E-8D79-4F62-8047-2F12F71B08ED}" presName="sibTrans" presStyleLbl="sibTrans2D1" presStyleIdx="0" presStyleCnt="2"/>
      <dgm:spPr/>
    </dgm:pt>
    <dgm:pt modelId="{86123F50-8C4F-44C0-9A93-F8033A73674B}" type="pres">
      <dgm:prSet presAssocID="{76DD527E-8D79-4F62-8047-2F12F71B08ED}" presName="connTx" presStyleLbl="sibTrans2D1" presStyleIdx="0" presStyleCnt="2"/>
      <dgm:spPr/>
    </dgm:pt>
    <dgm:pt modelId="{CBC25540-C2F5-4441-8DA4-CD220EA28D4C}" type="pres">
      <dgm:prSet presAssocID="{6D5EF5E1-60A6-4356-A65F-9306274DE190}" presName="composite" presStyleCnt="0"/>
      <dgm:spPr/>
    </dgm:pt>
    <dgm:pt modelId="{49E260C3-73A5-4F48-991A-89DBCBB4BD16}" type="pres">
      <dgm:prSet presAssocID="{6D5EF5E1-60A6-4356-A65F-9306274DE190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292EEF7D-98EB-4FE2-8050-6014BB7B6E05}" type="pres">
      <dgm:prSet presAssocID="{6D5EF5E1-60A6-4356-A65F-9306274DE190}" presName="parSh" presStyleLbl="node1" presStyleIdx="1" presStyleCnt="3"/>
      <dgm:spPr/>
    </dgm:pt>
    <dgm:pt modelId="{E2C7E084-AB8F-4B76-8EFB-EABF0EF5E30B}" type="pres">
      <dgm:prSet presAssocID="{6D5EF5E1-60A6-4356-A65F-9306274DE190}" presName="desTx" presStyleLbl="fgAcc1" presStyleIdx="1" presStyleCnt="3">
        <dgm:presLayoutVars>
          <dgm:bulletEnabled val="1"/>
        </dgm:presLayoutVars>
      </dgm:prSet>
      <dgm:spPr/>
    </dgm:pt>
    <dgm:pt modelId="{A7CF2EFC-2E0C-4C9E-B8F7-5803E60C3BD3}" type="pres">
      <dgm:prSet presAssocID="{EB28FDB4-C883-45F3-814A-D728634AF85A}" presName="sibTrans" presStyleLbl="sibTrans2D1" presStyleIdx="1" presStyleCnt="2"/>
      <dgm:spPr/>
    </dgm:pt>
    <dgm:pt modelId="{D5DA3CC0-EFBA-484F-8F28-9179F0785E88}" type="pres">
      <dgm:prSet presAssocID="{EB28FDB4-C883-45F3-814A-D728634AF85A}" presName="connTx" presStyleLbl="sibTrans2D1" presStyleIdx="1" presStyleCnt="2"/>
      <dgm:spPr/>
    </dgm:pt>
    <dgm:pt modelId="{53BD215C-0CBB-422E-B43F-A6C7C9FE9191}" type="pres">
      <dgm:prSet presAssocID="{62B4C678-92C9-47A1-9FB5-C2D6BB761249}" presName="composite" presStyleCnt="0"/>
      <dgm:spPr/>
    </dgm:pt>
    <dgm:pt modelId="{2C33FC28-12CA-4157-96A5-DAE777F8CF8C}" type="pres">
      <dgm:prSet presAssocID="{62B4C678-92C9-47A1-9FB5-C2D6BB761249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1D20550-FCB8-41B4-8A77-D7B711778849}" type="pres">
      <dgm:prSet presAssocID="{62B4C678-92C9-47A1-9FB5-C2D6BB761249}" presName="parSh" presStyleLbl="node1" presStyleIdx="2" presStyleCnt="3"/>
      <dgm:spPr/>
    </dgm:pt>
    <dgm:pt modelId="{9338F137-7564-43C6-B6B7-1AAD56F0267B}" type="pres">
      <dgm:prSet presAssocID="{62B4C678-92C9-47A1-9FB5-C2D6BB761249}" presName="desTx" presStyleLbl="fgAcc1" presStyleIdx="2" presStyleCnt="3">
        <dgm:presLayoutVars>
          <dgm:bulletEnabled val="1"/>
        </dgm:presLayoutVars>
      </dgm:prSet>
      <dgm:spPr/>
    </dgm:pt>
  </dgm:ptLst>
  <dgm:cxnLst>
    <dgm:cxn modelId="{5D232B0F-B092-4ED3-A22A-524D48F9B763}" type="presOf" srcId="{76DD527E-8D79-4F62-8047-2F12F71B08ED}" destId="{86123F50-8C4F-44C0-9A93-F8033A73674B}" srcOrd="1" destOrd="0" presId="urn:microsoft.com/office/officeart/2005/8/layout/process3"/>
    <dgm:cxn modelId="{1AC30D11-B62E-4663-9781-61BC201484DA}" srcId="{6D5EF5E1-60A6-4356-A65F-9306274DE190}" destId="{60DCA5B5-C667-4972-9DBB-728B0452B710}" srcOrd="0" destOrd="0" parTransId="{7383F6AB-4CC9-48CF-9CCE-0A08D537A53C}" sibTransId="{32CC86AC-7676-45D0-A848-ABBB2B65DEAA}"/>
    <dgm:cxn modelId="{9484DE16-83B2-4C36-A947-5DBE4B248D56}" type="presOf" srcId="{56AD7F4B-C517-4943-BF2C-C3A8D47A9A32}" destId="{38F55280-87FF-4734-8AEB-8FF9E3033FDA}" srcOrd="0" destOrd="0" presId="urn:microsoft.com/office/officeart/2005/8/layout/process3"/>
    <dgm:cxn modelId="{44CE4017-04D8-4F36-9ADB-B5E86C0177A3}" type="presOf" srcId="{B0B75C5E-6FF1-4360-9097-CC493A5C169D}" destId="{8CC3F75A-550F-4002-9FFF-7C89ABA97069}" srcOrd="0" destOrd="0" presId="urn:microsoft.com/office/officeart/2005/8/layout/process3"/>
    <dgm:cxn modelId="{C8D48321-7D0A-4CDA-A398-4C849D5AAE99}" srcId="{56AD7F4B-C517-4943-BF2C-C3A8D47A9A32}" destId="{62B4C678-92C9-47A1-9FB5-C2D6BB761249}" srcOrd="2" destOrd="0" parTransId="{6855512B-5DB8-4459-9BE0-2AC3003692E6}" sibTransId="{2AC6CABC-387E-44CA-BE9A-4399EF3FE32B}"/>
    <dgm:cxn modelId="{358CDA3F-5200-4674-9A2E-9E93897B70C1}" type="presOf" srcId="{62B4C678-92C9-47A1-9FB5-C2D6BB761249}" destId="{21D20550-FCB8-41B4-8A77-D7B711778849}" srcOrd="1" destOrd="0" presId="urn:microsoft.com/office/officeart/2005/8/layout/process3"/>
    <dgm:cxn modelId="{ACDA0761-1C44-4A95-8559-CD7E8EA8453A}" type="presOf" srcId="{60DCA5B5-C667-4972-9DBB-728B0452B710}" destId="{E2C7E084-AB8F-4B76-8EFB-EABF0EF5E30B}" srcOrd="0" destOrd="0" presId="urn:microsoft.com/office/officeart/2005/8/layout/process3"/>
    <dgm:cxn modelId="{A4C69063-81B8-4522-AC52-74D0BEBC23DF}" srcId="{56AD7F4B-C517-4943-BF2C-C3A8D47A9A32}" destId="{B0B75C5E-6FF1-4360-9097-CC493A5C169D}" srcOrd="0" destOrd="0" parTransId="{4D631FE5-0BF8-402F-AC0A-2116A8187C17}" sibTransId="{76DD527E-8D79-4F62-8047-2F12F71B08ED}"/>
    <dgm:cxn modelId="{36F32E69-B8E5-427C-95D0-96B03A0C6E65}" type="presOf" srcId="{6D5EF5E1-60A6-4356-A65F-9306274DE190}" destId="{49E260C3-73A5-4F48-991A-89DBCBB4BD16}" srcOrd="0" destOrd="0" presId="urn:microsoft.com/office/officeart/2005/8/layout/process3"/>
    <dgm:cxn modelId="{01D99C4A-9EB9-4970-97BC-327C96C3F77D}" type="presOf" srcId="{EB28FDB4-C883-45F3-814A-D728634AF85A}" destId="{A7CF2EFC-2E0C-4C9E-B8F7-5803E60C3BD3}" srcOrd="0" destOrd="0" presId="urn:microsoft.com/office/officeart/2005/8/layout/process3"/>
    <dgm:cxn modelId="{F6426F6B-53E9-4891-AC26-2C73397FA621}" srcId="{B0B75C5E-6FF1-4360-9097-CC493A5C169D}" destId="{2168B827-FB9C-4AC9-83EC-CBDBC8BA4A75}" srcOrd="0" destOrd="0" parTransId="{71A7E304-2C98-430B-A290-2FF02227C71B}" sibTransId="{ED071CE1-23CB-4163-9AEE-6F7C03EF6549}"/>
    <dgm:cxn modelId="{C246A16B-428D-4078-8A44-1C4EDAF24D3A}" type="presOf" srcId="{B0B75C5E-6FF1-4360-9097-CC493A5C169D}" destId="{C672A981-33C9-4EFC-9559-7EEB360132F4}" srcOrd="1" destOrd="0" presId="urn:microsoft.com/office/officeart/2005/8/layout/process3"/>
    <dgm:cxn modelId="{2AF51B52-FA1E-41A1-8436-543FF9282737}" type="presOf" srcId="{6D5EF5E1-60A6-4356-A65F-9306274DE190}" destId="{292EEF7D-98EB-4FE2-8050-6014BB7B6E05}" srcOrd="1" destOrd="0" presId="urn:microsoft.com/office/officeart/2005/8/layout/process3"/>
    <dgm:cxn modelId="{52D40C88-010A-4B75-88E6-FCA9473BE757}" srcId="{56AD7F4B-C517-4943-BF2C-C3A8D47A9A32}" destId="{6D5EF5E1-60A6-4356-A65F-9306274DE190}" srcOrd="1" destOrd="0" parTransId="{67527968-942E-4BE4-91B2-ED28BC2A55C4}" sibTransId="{EB28FDB4-C883-45F3-814A-D728634AF85A}"/>
    <dgm:cxn modelId="{0ECE519B-D3D0-483A-8E53-4722477D4C92}" type="presOf" srcId="{62B4C678-92C9-47A1-9FB5-C2D6BB761249}" destId="{2C33FC28-12CA-4157-96A5-DAE777F8CF8C}" srcOrd="0" destOrd="0" presId="urn:microsoft.com/office/officeart/2005/8/layout/process3"/>
    <dgm:cxn modelId="{3B0CD0D0-FB2F-4F04-87D1-FAE33A3F2FD0}" type="presOf" srcId="{76DD527E-8D79-4F62-8047-2F12F71B08ED}" destId="{065D5229-7AAE-44A4-A260-0678D2BAAD70}" srcOrd="0" destOrd="0" presId="urn:microsoft.com/office/officeart/2005/8/layout/process3"/>
    <dgm:cxn modelId="{9CD2ABD9-52E3-4FA9-AF1E-DA8B6CCCADD0}" type="presOf" srcId="{2168B827-FB9C-4AC9-83EC-CBDBC8BA4A75}" destId="{097B7A33-7FA2-4A06-BE9E-21C5154D4121}" srcOrd="0" destOrd="0" presId="urn:microsoft.com/office/officeart/2005/8/layout/process3"/>
    <dgm:cxn modelId="{598DABDC-DC37-4E42-82B0-28A918FB3420}" type="presOf" srcId="{EB28FDB4-C883-45F3-814A-D728634AF85A}" destId="{D5DA3CC0-EFBA-484F-8F28-9179F0785E88}" srcOrd="1" destOrd="0" presId="urn:microsoft.com/office/officeart/2005/8/layout/process3"/>
    <dgm:cxn modelId="{A5A124EE-21C7-4A9F-B2F2-33D345B6746B}" srcId="{62B4C678-92C9-47A1-9FB5-C2D6BB761249}" destId="{07A51D0E-9913-46A3-8B8A-132B4C748C86}" srcOrd="0" destOrd="0" parTransId="{8E3B637B-0C57-40E1-AC98-826C444548AB}" sibTransId="{9178566D-A998-4B65-A744-C0588D0A8A66}"/>
    <dgm:cxn modelId="{7DBBD2F4-217E-4552-A8A4-FF99C01EA7F8}" type="presOf" srcId="{07A51D0E-9913-46A3-8B8A-132B4C748C86}" destId="{9338F137-7564-43C6-B6B7-1AAD56F0267B}" srcOrd="0" destOrd="0" presId="urn:microsoft.com/office/officeart/2005/8/layout/process3"/>
    <dgm:cxn modelId="{A2F1A1D8-80B8-4B74-B11B-0F7BCE8A15CB}" type="presParOf" srcId="{38F55280-87FF-4734-8AEB-8FF9E3033FDA}" destId="{4E2BA58A-E685-45D5-B164-80EC6335FB6B}" srcOrd="0" destOrd="0" presId="urn:microsoft.com/office/officeart/2005/8/layout/process3"/>
    <dgm:cxn modelId="{A9A20211-106A-47E8-92BD-1297CD1FAD5F}" type="presParOf" srcId="{4E2BA58A-E685-45D5-B164-80EC6335FB6B}" destId="{8CC3F75A-550F-4002-9FFF-7C89ABA97069}" srcOrd="0" destOrd="0" presId="urn:microsoft.com/office/officeart/2005/8/layout/process3"/>
    <dgm:cxn modelId="{CF683B1F-9876-40D6-AF2B-C86A0EFA4A33}" type="presParOf" srcId="{4E2BA58A-E685-45D5-B164-80EC6335FB6B}" destId="{C672A981-33C9-4EFC-9559-7EEB360132F4}" srcOrd="1" destOrd="0" presId="urn:microsoft.com/office/officeart/2005/8/layout/process3"/>
    <dgm:cxn modelId="{07809953-8C5F-47B9-99BB-9EEBD9C963D1}" type="presParOf" srcId="{4E2BA58A-E685-45D5-B164-80EC6335FB6B}" destId="{097B7A33-7FA2-4A06-BE9E-21C5154D4121}" srcOrd="2" destOrd="0" presId="urn:microsoft.com/office/officeart/2005/8/layout/process3"/>
    <dgm:cxn modelId="{8284B5FB-A801-48D3-8757-04B58FCB5282}" type="presParOf" srcId="{38F55280-87FF-4734-8AEB-8FF9E3033FDA}" destId="{065D5229-7AAE-44A4-A260-0678D2BAAD70}" srcOrd="1" destOrd="0" presId="urn:microsoft.com/office/officeart/2005/8/layout/process3"/>
    <dgm:cxn modelId="{B5C51043-07C7-43DD-A494-E844F713A8D3}" type="presParOf" srcId="{065D5229-7AAE-44A4-A260-0678D2BAAD70}" destId="{86123F50-8C4F-44C0-9A93-F8033A73674B}" srcOrd="0" destOrd="0" presId="urn:microsoft.com/office/officeart/2005/8/layout/process3"/>
    <dgm:cxn modelId="{46CA79FF-4368-4E95-9330-6E04F3CE4E9A}" type="presParOf" srcId="{38F55280-87FF-4734-8AEB-8FF9E3033FDA}" destId="{CBC25540-C2F5-4441-8DA4-CD220EA28D4C}" srcOrd="2" destOrd="0" presId="urn:microsoft.com/office/officeart/2005/8/layout/process3"/>
    <dgm:cxn modelId="{C2E5FD1A-83D5-453F-8C32-D252BBF2AE5F}" type="presParOf" srcId="{CBC25540-C2F5-4441-8DA4-CD220EA28D4C}" destId="{49E260C3-73A5-4F48-991A-89DBCBB4BD16}" srcOrd="0" destOrd="0" presId="urn:microsoft.com/office/officeart/2005/8/layout/process3"/>
    <dgm:cxn modelId="{14675DA6-4C99-49B9-A252-7C140448FD5E}" type="presParOf" srcId="{CBC25540-C2F5-4441-8DA4-CD220EA28D4C}" destId="{292EEF7D-98EB-4FE2-8050-6014BB7B6E05}" srcOrd="1" destOrd="0" presId="urn:microsoft.com/office/officeart/2005/8/layout/process3"/>
    <dgm:cxn modelId="{D7B3AF99-CD62-4F23-9769-D06243689619}" type="presParOf" srcId="{CBC25540-C2F5-4441-8DA4-CD220EA28D4C}" destId="{E2C7E084-AB8F-4B76-8EFB-EABF0EF5E30B}" srcOrd="2" destOrd="0" presId="urn:microsoft.com/office/officeart/2005/8/layout/process3"/>
    <dgm:cxn modelId="{8B22D22B-1988-4084-B547-E014E9D9D08A}" type="presParOf" srcId="{38F55280-87FF-4734-8AEB-8FF9E3033FDA}" destId="{A7CF2EFC-2E0C-4C9E-B8F7-5803E60C3BD3}" srcOrd="3" destOrd="0" presId="urn:microsoft.com/office/officeart/2005/8/layout/process3"/>
    <dgm:cxn modelId="{3519D8E1-81CA-4887-8E55-AD48BD90115C}" type="presParOf" srcId="{A7CF2EFC-2E0C-4C9E-B8F7-5803E60C3BD3}" destId="{D5DA3CC0-EFBA-484F-8F28-9179F0785E88}" srcOrd="0" destOrd="0" presId="urn:microsoft.com/office/officeart/2005/8/layout/process3"/>
    <dgm:cxn modelId="{09050F63-D2AA-4DC5-B7C8-68D564DD65D8}" type="presParOf" srcId="{38F55280-87FF-4734-8AEB-8FF9E3033FDA}" destId="{53BD215C-0CBB-422E-B43F-A6C7C9FE9191}" srcOrd="4" destOrd="0" presId="urn:microsoft.com/office/officeart/2005/8/layout/process3"/>
    <dgm:cxn modelId="{D15DF912-0BF2-4A25-90A9-9F8527D7A770}" type="presParOf" srcId="{53BD215C-0CBB-422E-B43F-A6C7C9FE9191}" destId="{2C33FC28-12CA-4157-96A5-DAE777F8CF8C}" srcOrd="0" destOrd="0" presId="urn:microsoft.com/office/officeart/2005/8/layout/process3"/>
    <dgm:cxn modelId="{0576C02B-9137-4DF7-B554-74635A5EF246}" type="presParOf" srcId="{53BD215C-0CBB-422E-B43F-A6C7C9FE9191}" destId="{21D20550-FCB8-41B4-8A77-D7B711778849}" srcOrd="1" destOrd="0" presId="urn:microsoft.com/office/officeart/2005/8/layout/process3"/>
    <dgm:cxn modelId="{20A7D29C-D1E9-433E-A5D2-6322DAA5DD2B}" type="presParOf" srcId="{53BD215C-0CBB-422E-B43F-A6C7C9FE9191}" destId="{9338F137-7564-43C6-B6B7-1AAD56F0267B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9F05FBF-77DE-4B2D-BB95-3596C3F2B56F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1DCE730-A9D1-4233-B5C0-FBA1B4633695}">
      <dgm:prSet phldrT="[Text]"/>
      <dgm:spPr/>
      <dgm:t>
        <a:bodyPr/>
        <a:lstStyle/>
        <a:p>
          <a:r>
            <a:rPr lang="en-US" dirty="0"/>
            <a:t>Universal</a:t>
          </a:r>
        </a:p>
      </dgm:t>
    </dgm:pt>
    <dgm:pt modelId="{068123B2-09EB-47D7-9D18-B8B94CC9740F}" type="parTrans" cxnId="{E842844D-B56E-412A-BA5F-189CD32F2EE0}">
      <dgm:prSet/>
      <dgm:spPr/>
      <dgm:t>
        <a:bodyPr/>
        <a:lstStyle/>
        <a:p>
          <a:endParaRPr lang="en-US"/>
        </a:p>
      </dgm:t>
    </dgm:pt>
    <dgm:pt modelId="{B0BE65B2-32FA-4B65-B17A-CF60F93FC2B8}" type="sibTrans" cxnId="{E842844D-B56E-412A-BA5F-189CD32F2EE0}">
      <dgm:prSet/>
      <dgm:spPr/>
      <dgm:t>
        <a:bodyPr/>
        <a:lstStyle/>
        <a:p>
          <a:endParaRPr lang="en-US"/>
        </a:p>
      </dgm:t>
    </dgm:pt>
    <dgm:pt modelId="{84B96CAD-90EC-4257-AAAA-FF6C44B94DA2}">
      <dgm:prSet phldrT="[Text]"/>
      <dgm:spPr/>
      <dgm:t>
        <a:bodyPr/>
        <a:lstStyle/>
        <a:p>
          <a:r>
            <a:rPr lang="en-US" b="1" dirty="0"/>
            <a:t>Staffing</a:t>
          </a:r>
          <a:r>
            <a:rPr lang="en-US" dirty="0"/>
            <a:t>: Annualized</a:t>
          </a:r>
        </a:p>
      </dgm:t>
    </dgm:pt>
    <dgm:pt modelId="{29258D74-E9C5-40BD-B3FF-ABCADFADA24D}" type="parTrans" cxnId="{4B0FAAFD-5111-474E-9294-07EBF68C3F0F}">
      <dgm:prSet/>
      <dgm:spPr/>
      <dgm:t>
        <a:bodyPr/>
        <a:lstStyle/>
        <a:p>
          <a:endParaRPr lang="en-US"/>
        </a:p>
      </dgm:t>
    </dgm:pt>
    <dgm:pt modelId="{6F8354FC-7211-429A-B96D-973DF1AABD87}" type="sibTrans" cxnId="{4B0FAAFD-5111-474E-9294-07EBF68C3F0F}">
      <dgm:prSet/>
      <dgm:spPr/>
      <dgm:t>
        <a:bodyPr/>
        <a:lstStyle/>
        <a:p>
          <a:endParaRPr lang="en-US"/>
        </a:p>
      </dgm:t>
    </dgm:pt>
    <dgm:pt modelId="{75C9FCFC-53A9-4DA6-BB62-3A72F948F1D7}">
      <dgm:prSet phldrT="[Text]"/>
      <dgm:spPr/>
      <dgm:t>
        <a:bodyPr/>
        <a:lstStyle/>
        <a:p>
          <a:r>
            <a:rPr lang="en-US" dirty="0"/>
            <a:t>UNCFP Entities</a:t>
          </a:r>
        </a:p>
      </dgm:t>
    </dgm:pt>
    <dgm:pt modelId="{40ED7B45-7689-4AC6-B9CF-98B72A7C050C}" type="parTrans" cxnId="{BA56B82E-6A89-4B3D-9CB9-8D173E3413FD}">
      <dgm:prSet/>
      <dgm:spPr/>
      <dgm:t>
        <a:bodyPr/>
        <a:lstStyle/>
        <a:p>
          <a:endParaRPr lang="en-US"/>
        </a:p>
      </dgm:t>
    </dgm:pt>
    <dgm:pt modelId="{E2524C78-2A9E-4657-BF60-A9EF11CFACA3}" type="sibTrans" cxnId="{BA56B82E-6A89-4B3D-9CB9-8D173E3413FD}">
      <dgm:prSet/>
      <dgm:spPr/>
      <dgm:t>
        <a:bodyPr/>
        <a:lstStyle/>
        <a:p>
          <a:endParaRPr lang="en-US"/>
        </a:p>
      </dgm:t>
    </dgm:pt>
    <dgm:pt modelId="{0BB8E051-BDBE-4311-91BA-804D30D7D2C7}">
      <dgm:prSet phldrT="[Text]"/>
      <dgm:spPr/>
      <dgm:t>
        <a:bodyPr/>
        <a:lstStyle/>
        <a:p>
          <a:r>
            <a:rPr lang="en-US" b="1" dirty="0"/>
            <a:t>Provider Volume</a:t>
          </a:r>
        </a:p>
      </dgm:t>
    </dgm:pt>
    <dgm:pt modelId="{E8EB3190-EF27-486C-8AB8-DD662FB6E523}" type="parTrans" cxnId="{847004F6-EC84-453B-961E-7FECD8B9CF71}">
      <dgm:prSet/>
      <dgm:spPr/>
      <dgm:t>
        <a:bodyPr/>
        <a:lstStyle/>
        <a:p>
          <a:endParaRPr lang="en-US"/>
        </a:p>
      </dgm:t>
    </dgm:pt>
    <dgm:pt modelId="{607B3BD8-5274-4B56-8928-132443830198}" type="sibTrans" cxnId="{847004F6-EC84-453B-961E-7FECD8B9CF71}">
      <dgm:prSet/>
      <dgm:spPr/>
      <dgm:t>
        <a:bodyPr/>
        <a:lstStyle/>
        <a:p>
          <a:endParaRPr lang="en-US"/>
        </a:p>
      </dgm:t>
    </dgm:pt>
    <dgm:pt modelId="{A87CB3A9-3B9E-4815-BE4B-AC48B5DE0487}">
      <dgm:prSet phldrT="[Text]"/>
      <dgm:spPr/>
      <dgm:t>
        <a:bodyPr/>
        <a:lstStyle/>
        <a:p>
          <a:r>
            <a:rPr lang="en-US" dirty="0"/>
            <a:t>SOM Entities</a:t>
          </a:r>
        </a:p>
      </dgm:t>
    </dgm:pt>
    <dgm:pt modelId="{7BDFB724-B0C0-466A-A43F-9D3388B3E5FF}" type="parTrans" cxnId="{1D741CBD-F98E-4842-81CE-82B01092ABF5}">
      <dgm:prSet/>
      <dgm:spPr/>
      <dgm:t>
        <a:bodyPr/>
        <a:lstStyle/>
        <a:p>
          <a:endParaRPr lang="en-US"/>
        </a:p>
      </dgm:t>
    </dgm:pt>
    <dgm:pt modelId="{BB10E43B-E40A-4346-BBF2-83A2F8BC5F4D}" type="sibTrans" cxnId="{1D741CBD-F98E-4842-81CE-82B01092ABF5}">
      <dgm:prSet/>
      <dgm:spPr/>
      <dgm:t>
        <a:bodyPr/>
        <a:lstStyle/>
        <a:p>
          <a:endParaRPr lang="en-US"/>
        </a:p>
      </dgm:t>
    </dgm:pt>
    <dgm:pt modelId="{5105D98E-C30D-47A7-9D8D-2A3A52B9C9CF}">
      <dgm:prSet phldrT="[Text]"/>
      <dgm:spPr/>
      <dgm:t>
        <a:bodyPr/>
        <a:lstStyle/>
        <a:p>
          <a:r>
            <a:rPr lang="en-US" b="1" dirty="0"/>
            <a:t>Other</a:t>
          </a:r>
          <a:r>
            <a:rPr lang="en-US" dirty="0"/>
            <a:t> </a:t>
          </a:r>
          <a:r>
            <a:rPr lang="en-US" b="1" dirty="0"/>
            <a:t>Revenue</a:t>
          </a:r>
          <a:r>
            <a:rPr lang="en-US" dirty="0"/>
            <a:t>: Rolling 12</a:t>
          </a:r>
        </a:p>
      </dgm:t>
    </dgm:pt>
    <dgm:pt modelId="{784A2818-B09D-4C2A-9305-35567DBD31C0}" type="parTrans" cxnId="{558EF8AE-FDE5-4628-8A7C-8CBE4AC21D4B}">
      <dgm:prSet/>
      <dgm:spPr/>
      <dgm:t>
        <a:bodyPr/>
        <a:lstStyle/>
        <a:p>
          <a:endParaRPr lang="en-US"/>
        </a:p>
      </dgm:t>
    </dgm:pt>
    <dgm:pt modelId="{CB2CED85-C8EE-45FD-860B-209E614FE67B}" type="sibTrans" cxnId="{558EF8AE-FDE5-4628-8A7C-8CBE4AC21D4B}">
      <dgm:prSet/>
      <dgm:spPr/>
      <dgm:t>
        <a:bodyPr/>
        <a:lstStyle/>
        <a:p>
          <a:endParaRPr lang="en-US"/>
        </a:p>
      </dgm:t>
    </dgm:pt>
    <dgm:pt modelId="{80B432CC-1D93-4E06-AA00-D26CF4B93224}">
      <dgm:prSet phldrT="[Text]"/>
      <dgm:spPr/>
      <dgm:t>
        <a:bodyPr/>
        <a:lstStyle/>
        <a:p>
          <a:r>
            <a:rPr lang="en-US" b="1" dirty="0"/>
            <a:t>Non-Staffing</a:t>
          </a:r>
          <a:r>
            <a:rPr lang="en-US" dirty="0"/>
            <a:t>: Even</a:t>
          </a:r>
        </a:p>
      </dgm:t>
    </dgm:pt>
    <dgm:pt modelId="{1F16FC34-05DE-4D8A-94FF-6261376A35F4}" type="parTrans" cxnId="{8478FA0E-BA1B-45D2-871C-991199C8AA09}">
      <dgm:prSet/>
      <dgm:spPr/>
      <dgm:t>
        <a:bodyPr/>
        <a:lstStyle/>
        <a:p>
          <a:endParaRPr lang="en-US"/>
        </a:p>
      </dgm:t>
    </dgm:pt>
    <dgm:pt modelId="{B6CE3CD5-011A-4588-93D7-92E1C2AA06EF}" type="sibTrans" cxnId="{8478FA0E-BA1B-45D2-871C-991199C8AA09}">
      <dgm:prSet/>
      <dgm:spPr/>
      <dgm:t>
        <a:bodyPr/>
        <a:lstStyle/>
        <a:p>
          <a:endParaRPr lang="en-US"/>
        </a:p>
      </dgm:t>
    </dgm:pt>
    <dgm:pt modelId="{91CC4DEA-6326-4FC2-A894-3C5E1E0BEF31}">
      <dgm:prSet phldrT="[Text]"/>
      <dgm:spPr/>
      <dgm:t>
        <a:bodyPr/>
        <a:lstStyle/>
        <a:p>
          <a:r>
            <a:rPr lang="en-US" b="1" dirty="0"/>
            <a:t>Other</a:t>
          </a:r>
          <a:r>
            <a:rPr lang="en-US" dirty="0"/>
            <a:t> </a:t>
          </a:r>
          <a:r>
            <a:rPr lang="en-US" b="1" dirty="0"/>
            <a:t>Revenue</a:t>
          </a:r>
          <a:r>
            <a:rPr lang="en-US" dirty="0"/>
            <a:t>: Even</a:t>
          </a:r>
        </a:p>
      </dgm:t>
    </dgm:pt>
    <dgm:pt modelId="{63245941-F770-4B2A-B895-3E55AAA622A0}" type="parTrans" cxnId="{51B6C42E-88CB-4995-8AB9-58EE94E2AB4B}">
      <dgm:prSet/>
      <dgm:spPr/>
      <dgm:t>
        <a:bodyPr/>
        <a:lstStyle/>
        <a:p>
          <a:endParaRPr lang="en-US"/>
        </a:p>
      </dgm:t>
    </dgm:pt>
    <dgm:pt modelId="{C978FCFE-3A7C-47B7-99DF-048985013A05}" type="sibTrans" cxnId="{51B6C42E-88CB-4995-8AB9-58EE94E2AB4B}">
      <dgm:prSet/>
      <dgm:spPr/>
      <dgm:t>
        <a:bodyPr/>
        <a:lstStyle/>
        <a:p>
          <a:endParaRPr lang="en-US"/>
        </a:p>
      </dgm:t>
    </dgm:pt>
    <dgm:pt modelId="{45C3F917-B541-48E9-8637-32A6254539A3}">
      <dgm:prSet phldrT="[Text]"/>
      <dgm:spPr/>
      <dgm:t>
        <a:bodyPr/>
        <a:lstStyle/>
        <a:p>
          <a:r>
            <a:rPr lang="en-US" dirty="0"/>
            <a:t>FY20 Projection: Rolling 12</a:t>
          </a:r>
        </a:p>
      </dgm:t>
    </dgm:pt>
    <dgm:pt modelId="{D6DDCD7B-1457-401E-8187-75BB8478385D}" type="parTrans" cxnId="{4D018FC2-D681-4923-A319-1272FA344E61}">
      <dgm:prSet/>
      <dgm:spPr/>
      <dgm:t>
        <a:bodyPr/>
        <a:lstStyle/>
        <a:p>
          <a:endParaRPr lang="en-US"/>
        </a:p>
      </dgm:t>
    </dgm:pt>
    <dgm:pt modelId="{EC3016E9-A07A-404F-B826-F80821EFDDE9}" type="sibTrans" cxnId="{4D018FC2-D681-4923-A319-1272FA344E61}">
      <dgm:prSet/>
      <dgm:spPr/>
      <dgm:t>
        <a:bodyPr/>
        <a:lstStyle/>
        <a:p>
          <a:endParaRPr lang="en-US"/>
        </a:p>
      </dgm:t>
    </dgm:pt>
    <dgm:pt modelId="{23DB4FAF-F8A0-4B00-9E41-E09C4023A9EE}">
      <dgm:prSet phldrT="[Text]"/>
      <dgm:spPr/>
      <dgm:t>
        <a:bodyPr/>
        <a:lstStyle/>
        <a:p>
          <a:r>
            <a:rPr lang="en-US" dirty="0"/>
            <a:t>FY21 Budget: Based on FY18 Practice Plan charge spread</a:t>
          </a:r>
        </a:p>
      </dgm:t>
    </dgm:pt>
    <dgm:pt modelId="{5BE4F860-3806-44A7-BB7C-18C18AA9F6D8}" type="parTrans" cxnId="{7BB27E06-DC89-4D02-AD9F-605E17A5912A}">
      <dgm:prSet/>
      <dgm:spPr/>
      <dgm:t>
        <a:bodyPr/>
        <a:lstStyle/>
        <a:p>
          <a:endParaRPr lang="en-US"/>
        </a:p>
      </dgm:t>
    </dgm:pt>
    <dgm:pt modelId="{384EA002-92A7-4CDA-81F3-4EF3A2A9840A}" type="sibTrans" cxnId="{7BB27E06-DC89-4D02-AD9F-605E17A5912A}">
      <dgm:prSet/>
      <dgm:spPr/>
      <dgm:t>
        <a:bodyPr/>
        <a:lstStyle/>
        <a:p>
          <a:endParaRPr lang="en-US"/>
        </a:p>
      </dgm:t>
    </dgm:pt>
    <dgm:pt modelId="{55A605CC-03E8-4A1D-951C-3814CB47CD23}">
      <dgm:prSet phldrT="[Text]"/>
      <dgm:spPr/>
      <dgm:t>
        <a:bodyPr/>
        <a:lstStyle/>
        <a:p>
          <a:r>
            <a:rPr lang="en-US" b="1" dirty="0"/>
            <a:t>Benefits</a:t>
          </a:r>
          <a:r>
            <a:rPr lang="en-US" dirty="0"/>
            <a:t>: Rolling 12</a:t>
          </a:r>
        </a:p>
      </dgm:t>
    </dgm:pt>
    <dgm:pt modelId="{15F6827A-02DC-41C7-9CF2-2E20D63A9CDD}" type="parTrans" cxnId="{06083494-12BF-4BF2-8D12-74FA250F196B}">
      <dgm:prSet/>
      <dgm:spPr/>
      <dgm:t>
        <a:bodyPr/>
        <a:lstStyle/>
        <a:p>
          <a:endParaRPr lang="en-US"/>
        </a:p>
      </dgm:t>
    </dgm:pt>
    <dgm:pt modelId="{2DA96E11-D4A5-4ACD-ADDA-956566DCBAF0}" type="sibTrans" cxnId="{06083494-12BF-4BF2-8D12-74FA250F196B}">
      <dgm:prSet/>
      <dgm:spPr/>
      <dgm:t>
        <a:bodyPr/>
        <a:lstStyle/>
        <a:p>
          <a:endParaRPr lang="en-US"/>
        </a:p>
      </dgm:t>
    </dgm:pt>
    <dgm:pt modelId="{2CD05D0F-931B-457B-953A-2F04D9BFDBFD}" type="pres">
      <dgm:prSet presAssocID="{09F05FBF-77DE-4B2D-BB95-3596C3F2B56F}" presName="Name0" presStyleCnt="0">
        <dgm:presLayoutVars>
          <dgm:dir/>
          <dgm:animLvl val="lvl"/>
          <dgm:resizeHandles val="exact"/>
        </dgm:presLayoutVars>
      </dgm:prSet>
      <dgm:spPr/>
    </dgm:pt>
    <dgm:pt modelId="{0FD32352-10EC-45CB-86C4-1C91FF61C707}" type="pres">
      <dgm:prSet presAssocID="{41DCE730-A9D1-4233-B5C0-FBA1B4633695}" presName="composite" presStyleCnt="0"/>
      <dgm:spPr/>
    </dgm:pt>
    <dgm:pt modelId="{04FA0A1A-E4D5-4654-AB84-A11A57D005C4}" type="pres">
      <dgm:prSet presAssocID="{41DCE730-A9D1-4233-B5C0-FBA1B4633695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3DB13699-735F-4678-9B1B-AEEFCA9B5224}" type="pres">
      <dgm:prSet presAssocID="{41DCE730-A9D1-4233-B5C0-FBA1B4633695}" presName="desTx" presStyleLbl="alignAccFollowNode1" presStyleIdx="0" presStyleCnt="3">
        <dgm:presLayoutVars>
          <dgm:bulletEnabled val="1"/>
        </dgm:presLayoutVars>
      </dgm:prSet>
      <dgm:spPr/>
    </dgm:pt>
    <dgm:pt modelId="{5E1686CC-5B49-4B50-A910-2CCEC6FEA9FC}" type="pres">
      <dgm:prSet presAssocID="{B0BE65B2-32FA-4B65-B17A-CF60F93FC2B8}" presName="space" presStyleCnt="0"/>
      <dgm:spPr/>
    </dgm:pt>
    <dgm:pt modelId="{AD68CCFF-FCA6-4CA7-BAB2-4AB0859ECCC4}" type="pres">
      <dgm:prSet presAssocID="{75C9FCFC-53A9-4DA6-BB62-3A72F948F1D7}" presName="composite" presStyleCnt="0"/>
      <dgm:spPr/>
    </dgm:pt>
    <dgm:pt modelId="{847F8B20-D722-4550-8759-3D473687CE40}" type="pres">
      <dgm:prSet presAssocID="{75C9FCFC-53A9-4DA6-BB62-3A72F948F1D7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642AB661-C40E-4C93-AB0D-4AB801098E11}" type="pres">
      <dgm:prSet presAssocID="{75C9FCFC-53A9-4DA6-BB62-3A72F948F1D7}" presName="desTx" presStyleLbl="alignAccFollowNode1" presStyleIdx="1" presStyleCnt="3">
        <dgm:presLayoutVars>
          <dgm:bulletEnabled val="1"/>
        </dgm:presLayoutVars>
      </dgm:prSet>
      <dgm:spPr/>
    </dgm:pt>
    <dgm:pt modelId="{3BB8A61B-3C7C-4019-A7E7-83B8CC1E3B17}" type="pres">
      <dgm:prSet presAssocID="{E2524C78-2A9E-4657-BF60-A9EF11CFACA3}" presName="space" presStyleCnt="0"/>
      <dgm:spPr/>
    </dgm:pt>
    <dgm:pt modelId="{0CC5580B-5A23-4360-A692-1FF6DB070A3F}" type="pres">
      <dgm:prSet presAssocID="{A87CB3A9-3B9E-4815-BE4B-AC48B5DE0487}" presName="composite" presStyleCnt="0"/>
      <dgm:spPr/>
    </dgm:pt>
    <dgm:pt modelId="{FD67B700-F51F-4FFC-ACC8-CEE7B0877999}" type="pres">
      <dgm:prSet presAssocID="{A87CB3A9-3B9E-4815-BE4B-AC48B5DE048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7AC00644-7514-430F-A50B-EBA30931C454}" type="pres">
      <dgm:prSet presAssocID="{A87CB3A9-3B9E-4815-BE4B-AC48B5DE0487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7BB27E06-DC89-4D02-AD9F-605E17A5912A}" srcId="{0BB8E051-BDBE-4311-91BA-804D30D7D2C7}" destId="{23DB4FAF-F8A0-4B00-9E41-E09C4023A9EE}" srcOrd="1" destOrd="0" parTransId="{5BE4F860-3806-44A7-BB7C-18C18AA9F6D8}" sibTransId="{384EA002-92A7-4CDA-81F3-4EF3A2A9840A}"/>
    <dgm:cxn modelId="{D324A007-0F19-49E2-B5FA-5D44BB397536}" type="presOf" srcId="{55A605CC-03E8-4A1D-951C-3814CB47CD23}" destId="{3DB13699-735F-4678-9B1B-AEEFCA9B5224}" srcOrd="0" destOrd="1" presId="urn:microsoft.com/office/officeart/2005/8/layout/hList1"/>
    <dgm:cxn modelId="{8478FA0E-BA1B-45D2-871C-991199C8AA09}" srcId="{41DCE730-A9D1-4233-B5C0-FBA1B4633695}" destId="{80B432CC-1D93-4E06-AA00-D26CF4B93224}" srcOrd="2" destOrd="0" parTransId="{1F16FC34-05DE-4D8A-94FF-6261376A35F4}" sibTransId="{B6CE3CD5-011A-4588-93D7-92E1C2AA06EF}"/>
    <dgm:cxn modelId="{40E94F23-A86F-495A-A4DF-2E18E18F1FE2}" type="presOf" srcId="{45C3F917-B541-48E9-8637-32A6254539A3}" destId="{642AB661-C40E-4C93-AB0D-4AB801098E11}" srcOrd="0" destOrd="1" presId="urn:microsoft.com/office/officeart/2005/8/layout/hList1"/>
    <dgm:cxn modelId="{BA56B82E-6A89-4B3D-9CB9-8D173E3413FD}" srcId="{09F05FBF-77DE-4B2D-BB95-3596C3F2B56F}" destId="{75C9FCFC-53A9-4DA6-BB62-3A72F948F1D7}" srcOrd="1" destOrd="0" parTransId="{40ED7B45-7689-4AC6-B9CF-98B72A7C050C}" sibTransId="{E2524C78-2A9E-4657-BF60-A9EF11CFACA3}"/>
    <dgm:cxn modelId="{51B6C42E-88CB-4995-8AB9-58EE94E2AB4B}" srcId="{75C9FCFC-53A9-4DA6-BB62-3A72F948F1D7}" destId="{91CC4DEA-6326-4FC2-A894-3C5E1E0BEF31}" srcOrd="1" destOrd="0" parTransId="{63245941-F770-4B2A-B895-3E55AAA622A0}" sibTransId="{C978FCFE-3A7C-47B7-99DF-048985013A05}"/>
    <dgm:cxn modelId="{1EC7173B-97BB-412C-BA11-910B6E1588F5}" type="presOf" srcId="{91CC4DEA-6326-4FC2-A894-3C5E1E0BEF31}" destId="{642AB661-C40E-4C93-AB0D-4AB801098E11}" srcOrd="0" destOrd="3" presId="urn:microsoft.com/office/officeart/2005/8/layout/hList1"/>
    <dgm:cxn modelId="{5F37D066-357C-478E-BA75-4974201CA1D8}" type="presOf" srcId="{23DB4FAF-F8A0-4B00-9E41-E09C4023A9EE}" destId="{642AB661-C40E-4C93-AB0D-4AB801098E11}" srcOrd="0" destOrd="2" presId="urn:microsoft.com/office/officeart/2005/8/layout/hList1"/>
    <dgm:cxn modelId="{E842844D-B56E-412A-BA5F-189CD32F2EE0}" srcId="{09F05FBF-77DE-4B2D-BB95-3596C3F2B56F}" destId="{41DCE730-A9D1-4233-B5C0-FBA1B4633695}" srcOrd="0" destOrd="0" parTransId="{068123B2-09EB-47D7-9D18-B8B94CC9740F}" sibTransId="{B0BE65B2-32FA-4B65-B17A-CF60F93FC2B8}"/>
    <dgm:cxn modelId="{2958866E-5842-4660-9AE0-FB3E4DAE03DA}" type="presOf" srcId="{41DCE730-A9D1-4233-B5C0-FBA1B4633695}" destId="{04FA0A1A-E4D5-4654-AB84-A11A57D005C4}" srcOrd="0" destOrd="0" presId="urn:microsoft.com/office/officeart/2005/8/layout/hList1"/>
    <dgm:cxn modelId="{FD640F50-7C75-4178-81E9-F6F15AADDFE1}" type="presOf" srcId="{09F05FBF-77DE-4B2D-BB95-3596C3F2B56F}" destId="{2CD05D0F-931B-457B-953A-2F04D9BFDBFD}" srcOrd="0" destOrd="0" presId="urn:microsoft.com/office/officeart/2005/8/layout/hList1"/>
    <dgm:cxn modelId="{2E6E7657-34DA-47D8-98DA-D73D3D94985B}" type="presOf" srcId="{0BB8E051-BDBE-4311-91BA-804D30D7D2C7}" destId="{642AB661-C40E-4C93-AB0D-4AB801098E11}" srcOrd="0" destOrd="0" presId="urn:microsoft.com/office/officeart/2005/8/layout/hList1"/>
    <dgm:cxn modelId="{AC193E80-6207-4B56-A951-F445AA60AC53}" type="presOf" srcId="{84B96CAD-90EC-4257-AAAA-FF6C44B94DA2}" destId="{3DB13699-735F-4678-9B1B-AEEFCA9B5224}" srcOrd="0" destOrd="0" presId="urn:microsoft.com/office/officeart/2005/8/layout/hList1"/>
    <dgm:cxn modelId="{3595ED86-AF64-487A-BA79-B2C70463B485}" type="presOf" srcId="{5105D98E-C30D-47A7-9D8D-2A3A52B9C9CF}" destId="{7AC00644-7514-430F-A50B-EBA30931C454}" srcOrd="0" destOrd="0" presId="urn:microsoft.com/office/officeart/2005/8/layout/hList1"/>
    <dgm:cxn modelId="{06083494-12BF-4BF2-8D12-74FA250F196B}" srcId="{41DCE730-A9D1-4233-B5C0-FBA1B4633695}" destId="{55A605CC-03E8-4A1D-951C-3814CB47CD23}" srcOrd="1" destOrd="0" parTransId="{15F6827A-02DC-41C7-9CF2-2E20D63A9CDD}" sibTransId="{2DA96E11-D4A5-4ACD-ADDA-956566DCBAF0}"/>
    <dgm:cxn modelId="{24C8C0A3-662D-4FD1-88E5-A47B3A41D880}" type="presOf" srcId="{80B432CC-1D93-4E06-AA00-D26CF4B93224}" destId="{3DB13699-735F-4678-9B1B-AEEFCA9B5224}" srcOrd="0" destOrd="2" presId="urn:microsoft.com/office/officeart/2005/8/layout/hList1"/>
    <dgm:cxn modelId="{CAE908AA-FF84-4BB4-A9C0-1CE71E312AAE}" type="presOf" srcId="{75C9FCFC-53A9-4DA6-BB62-3A72F948F1D7}" destId="{847F8B20-D722-4550-8759-3D473687CE40}" srcOrd="0" destOrd="0" presId="urn:microsoft.com/office/officeart/2005/8/layout/hList1"/>
    <dgm:cxn modelId="{558EF8AE-FDE5-4628-8A7C-8CBE4AC21D4B}" srcId="{A87CB3A9-3B9E-4815-BE4B-AC48B5DE0487}" destId="{5105D98E-C30D-47A7-9D8D-2A3A52B9C9CF}" srcOrd="0" destOrd="0" parTransId="{784A2818-B09D-4C2A-9305-35567DBD31C0}" sibTransId="{CB2CED85-C8EE-45FD-860B-209E614FE67B}"/>
    <dgm:cxn modelId="{1D741CBD-F98E-4842-81CE-82B01092ABF5}" srcId="{09F05FBF-77DE-4B2D-BB95-3596C3F2B56F}" destId="{A87CB3A9-3B9E-4815-BE4B-AC48B5DE0487}" srcOrd="2" destOrd="0" parTransId="{7BDFB724-B0C0-466A-A43F-9D3388B3E5FF}" sibTransId="{BB10E43B-E40A-4346-BBF2-83A2F8BC5F4D}"/>
    <dgm:cxn modelId="{4D018FC2-D681-4923-A319-1272FA344E61}" srcId="{0BB8E051-BDBE-4311-91BA-804D30D7D2C7}" destId="{45C3F917-B541-48E9-8637-32A6254539A3}" srcOrd="0" destOrd="0" parTransId="{D6DDCD7B-1457-401E-8187-75BB8478385D}" sibTransId="{EC3016E9-A07A-404F-B826-F80821EFDDE9}"/>
    <dgm:cxn modelId="{07B184D6-9C6A-4213-B12E-0B1346591CC9}" type="presOf" srcId="{A87CB3A9-3B9E-4815-BE4B-AC48B5DE0487}" destId="{FD67B700-F51F-4FFC-ACC8-CEE7B0877999}" srcOrd="0" destOrd="0" presId="urn:microsoft.com/office/officeart/2005/8/layout/hList1"/>
    <dgm:cxn modelId="{847004F6-EC84-453B-961E-7FECD8B9CF71}" srcId="{75C9FCFC-53A9-4DA6-BB62-3A72F948F1D7}" destId="{0BB8E051-BDBE-4311-91BA-804D30D7D2C7}" srcOrd="0" destOrd="0" parTransId="{E8EB3190-EF27-486C-8AB8-DD662FB6E523}" sibTransId="{607B3BD8-5274-4B56-8928-132443830198}"/>
    <dgm:cxn modelId="{4B0FAAFD-5111-474E-9294-07EBF68C3F0F}" srcId="{41DCE730-A9D1-4233-B5C0-FBA1B4633695}" destId="{84B96CAD-90EC-4257-AAAA-FF6C44B94DA2}" srcOrd="0" destOrd="0" parTransId="{29258D74-E9C5-40BD-B3FF-ABCADFADA24D}" sibTransId="{6F8354FC-7211-429A-B96D-973DF1AABD87}"/>
    <dgm:cxn modelId="{7A7D2680-DD5B-4C44-9F2C-584C63EAF9D5}" type="presParOf" srcId="{2CD05D0F-931B-457B-953A-2F04D9BFDBFD}" destId="{0FD32352-10EC-45CB-86C4-1C91FF61C707}" srcOrd="0" destOrd="0" presId="urn:microsoft.com/office/officeart/2005/8/layout/hList1"/>
    <dgm:cxn modelId="{9907B3EB-04D5-456C-884E-311AF3B8AD33}" type="presParOf" srcId="{0FD32352-10EC-45CB-86C4-1C91FF61C707}" destId="{04FA0A1A-E4D5-4654-AB84-A11A57D005C4}" srcOrd="0" destOrd="0" presId="urn:microsoft.com/office/officeart/2005/8/layout/hList1"/>
    <dgm:cxn modelId="{4F8A94D8-F9DE-41D6-8869-A0BDC9A4240C}" type="presParOf" srcId="{0FD32352-10EC-45CB-86C4-1C91FF61C707}" destId="{3DB13699-735F-4678-9B1B-AEEFCA9B5224}" srcOrd="1" destOrd="0" presId="urn:microsoft.com/office/officeart/2005/8/layout/hList1"/>
    <dgm:cxn modelId="{66C0749E-3962-41E9-A217-4A4B00F0D6CE}" type="presParOf" srcId="{2CD05D0F-931B-457B-953A-2F04D9BFDBFD}" destId="{5E1686CC-5B49-4B50-A910-2CCEC6FEA9FC}" srcOrd="1" destOrd="0" presId="urn:microsoft.com/office/officeart/2005/8/layout/hList1"/>
    <dgm:cxn modelId="{ABA77EAF-4AD9-4E11-884A-29374C52A4DF}" type="presParOf" srcId="{2CD05D0F-931B-457B-953A-2F04D9BFDBFD}" destId="{AD68CCFF-FCA6-4CA7-BAB2-4AB0859ECCC4}" srcOrd="2" destOrd="0" presId="urn:microsoft.com/office/officeart/2005/8/layout/hList1"/>
    <dgm:cxn modelId="{83134299-AEA6-4556-88CB-190BB77CD6A5}" type="presParOf" srcId="{AD68CCFF-FCA6-4CA7-BAB2-4AB0859ECCC4}" destId="{847F8B20-D722-4550-8759-3D473687CE40}" srcOrd="0" destOrd="0" presId="urn:microsoft.com/office/officeart/2005/8/layout/hList1"/>
    <dgm:cxn modelId="{78BE64C6-6FF4-4BB1-8B09-CADA5F8E0DF8}" type="presParOf" srcId="{AD68CCFF-FCA6-4CA7-BAB2-4AB0859ECCC4}" destId="{642AB661-C40E-4C93-AB0D-4AB801098E11}" srcOrd="1" destOrd="0" presId="urn:microsoft.com/office/officeart/2005/8/layout/hList1"/>
    <dgm:cxn modelId="{2A6DF0A4-E6DA-448E-8706-8DD560B76DE2}" type="presParOf" srcId="{2CD05D0F-931B-457B-953A-2F04D9BFDBFD}" destId="{3BB8A61B-3C7C-4019-A7E7-83B8CC1E3B17}" srcOrd="3" destOrd="0" presId="urn:microsoft.com/office/officeart/2005/8/layout/hList1"/>
    <dgm:cxn modelId="{80E0722C-9E94-4A05-9066-C49162367CF2}" type="presParOf" srcId="{2CD05D0F-931B-457B-953A-2F04D9BFDBFD}" destId="{0CC5580B-5A23-4360-A692-1FF6DB070A3F}" srcOrd="4" destOrd="0" presId="urn:microsoft.com/office/officeart/2005/8/layout/hList1"/>
    <dgm:cxn modelId="{19F2B737-AD00-48C2-B168-2C7366D9D57A}" type="presParOf" srcId="{0CC5580B-5A23-4360-A692-1FF6DB070A3F}" destId="{FD67B700-F51F-4FFC-ACC8-CEE7B0877999}" srcOrd="0" destOrd="0" presId="urn:microsoft.com/office/officeart/2005/8/layout/hList1"/>
    <dgm:cxn modelId="{A3764CEA-FC47-4DA1-9B24-ACF0CCF31C4C}" type="presParOf" srcId="{0CC5580B-5A23-4360-A692-1FF6DB070A3F}" destId="{7AC00644-7514-430F-A50B-EBA30931C45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AB62B-C979-4BEF-9D0D-517DAFB543F2}">
      <dsp:nvSpPr>
        <dsp:cNvPr id="0" name=""/>
        <dsp:cNvSpPr/>
      </dsp:nvSpPr>
      <dsp:spPr>
        <a:xfrm>
          <a:off x="3410" y="15187"/>
          <a:ext cx="1550885" cy="5183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Dec 9 – Jan 13</a:t>
          </a:r>
        </a:p>
      </dsp:txBody>
      <dsp:txXfrm>
        <a:off x="3410" y="15187"/>
        <a:ext cx="1550885" cy="345600"/>
      </dsp:txXfrm>
    </dsp:sp>
    <dsp:sp modelId="{74110B90-8AF5-4F7B-ADAE-2E0418788A06}">
      <dsp:nvSpPr>
        <dsp:cNvPr id="0" name=""/>
        <dsp:cNvSpPr/>
      </dsp:nvSpPr>
      <dsp:spPr>
        <a:xfrm>
          <a:off x="321062" y="360787"/>
          <a:ext cx="1550885" cy="1252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j-lt"/>
            </a:rPr>
            <a:t>Departments to complete Faculty Roster Budgets (FRB)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latin typeface="+mj-lt"/>
            </a:rPr>
            <a:t>DUE BY COB ON MONDAY,  JAN 13</a:t>
          </a:r>
        </a:p>
      </dsp:txBody>
      <dsp:txXfrm>
        <a:off x="357755" y="397480"/>
        <a:ext cx="1477499" cy="1179414"/>
      </dsp:txXfrm>
    </dsp:sp>
    <dsp:sp modelId="{CC2AED8A-35D3-44FA-9EA5-1C73CE8E33C6}">
      <dsp:nvSpPr>
        <dsp:cNvPr id="0" name=""/>
        <dsp:cNvSpPr/>
      </dsp:nvSpPr>
      <dsp:spPr>
        <a:xfrm>
          <a:off x="1789405" y="-5075"/>
          <a:ext cx="498430" cy="38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j-lt"/>
          </a:endParaRPr>
        </a:p>
      </dsp:txBody>
      <dsp:txXfrm>
        <a:off x="1789405" y="72150"/>
        <a:ext cx="382593" cy="231675"/>
      </dsp:txXfrm>
    </dsp:sp>
    <dsp:sp modelId="{661AA637-15CD-4D41-951F-32F8BFD0258E}">
      <dsp:nvSpPr>
        <dsp:cNvPr id="0" name=""/>
        <dsp:cNvSpPr/>
      </dsp:nvSpPr>
      <dsp:spPr>
        <a:xfrm>
          <a:off x="2494731" y="15187"/>
          <a:ext cx="1550885" cy="5183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Jan 15, 16</a:t>
          </a:r>
        </a:p>
      </dsp:txBody>
      <dsp:txXfrm>
        <a:off x="2494731" y="15187"/>
        <a:ext cx="1550885" cy="345600"/>
      </dsp:txXfrm>
    </dsp:sp>
    <dsp:sp modelId="{23DB6AAD-653B-4B4D-995D-D0980A39B79C}">
      <dsp:nvSpPr>
        <dsp:cNvPr id="0" name=""/>
        <dsp:cNvSpPr/>
      </dsp:nvSpPr>
      <dsp:spPr>
        <a:xfrm>
          <a:off x="2812382" y="360787"/>
          <a:ext cx="1550885" cy="1252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j-lt"/>
            </a:rPr>
            <a:t>Strata training for SOM Clinical Departments</a:t>
          </a:r>
        </a:p>
      </dsp:txBody>
      <dsp:txXfrm>
        <a:off x="2849075" y="397480"/>
        <a:ext cx="1477499" cy="1179414"/>
      </dsp:txXfrm>
    </dsp:sp>
    <dsp:sp modelId="{83D37421-689A-4D44-A044-2E7F22579091}">
      <dsp:nvSpPr>
        <dsp:cNvPr id="0" name=""/>
        <dsp:cNvSpPr/>
      </dsp:nvSpPr>
      <dsp:spPr>
        <a:xfrm>
          <a:off x="4280725" y="-5075"/>
          <a:ext cx="498430" cy="38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j-lt"/>
          </a:endParaRPr>
        </a:p>
      </dsp:txBody>
      <dsp:txXfrm>
        <a:off x="4280725" y="72150"/>
        <a:ext cx="382593" cy="231675"/>
      </dsp:txXfrm>
    </dsp:sp>
    <dsp:sp modelId="{A9237FB5-7879-42D6-B895-138D038DB697}">
      <dsp:nvSpPr>
        <dsp:cNvPr id="0" name=""/>
        <dsp:cNvSpPr/>
      </dsp:nvSpPr>
      <dsp:spPr>
        <a:xfrm>
          <a:off x="4986051" y="15187"/>
          <a:ext cx="1550885" cy="51839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Jan 21</a:t>
          </a:r>
        </a:p>
      </dsp:txBody>
      <dsp:txXfrm>
        <a:off x="4986051" y="15187"/>
        <a:ext cx="1550885" cy="345600"/>
      </dsp:txXfrm>
    </dsp:sp>
    <dsp:sp modelId="{5ED1201D-8624-45E8-A0DF-E965E8771AF8}">
      <dsp:nvSpPr>
        <dsp:cNvPr id="0" name=""/>
        <dsp:cNvSpPr/>
      </dsp:nvSpPr>
      <dsp:spPr>
        <a:xfrm>
          <a:off x="5303703" y="360787"/>
          <a:ext cx="1550885" cy="1252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j-lt"/>
            </a:rPr>
            <a:t>Strata go-live date for SOM Clinical Departments</a:t>
          </a:r>
        </a:p>
      </dsp:txBody>
      <dsp:txXfrm>
        <a:off x="5340396" y="397480"/>
        <a:ext cx="1477499" cy="11794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72A981-33C9-4EFC-9559-7EEB360132F4}">
      <dsp:nvSpPr>
        <dsp:cNvPr id="0" name=""/>
        <dsp:cNvSpPr/>
      </dsp:nvSpPr>
      <dsp:spPr>
        <a:xfrm>
          <a:off x="3410" y="13049"/>
          <a:ext cx="1550885" cy="51839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Feb 18</a:t>
          </a:r>
        </a:p>
      </dsp:txBody>
      <dsp:txXfrm>
        <a:off x="3410" y="13049"/>
        <a:ext cx="1550885" cy="345600"/>
      </dsp:txXfrm>
    </dsp:sp>
    <dsp:sp modelId="{097B7A33-7FA2-4A06-BE9E-21C5154D4121}">
      <dsp:nvSpPr>
        <dsp:cNvPr id="0" name=""/>
        <dsp:cNvSpPr/>
      </dsp:nvSpPr>
      <dsp:spPr>
        <a:xfrm>
          <a:off x="321062" y="358649"/>
          <a:ext cx="1550885" cy="88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 dirty="0">
              <a:latin typeface="+mj-lt"/>
            </a:rPr>
            <a:t>ALL</a:t>
          </a:r>
          <a:r>
            <a:rPr lang="en-US" sz="1200" kern="1200" dirty="0">
              <a:latin typeface="+mj-lt"/>
            </a:rPr>
            <a:t> funds budgets due</a:t>
          </a:r>
        </a:p>
      </dsp:txBody>
      <dsp:txXfrm>
        <a:off x="347000" y="384587"/>
        <a:ext cx="1499009" cy="833724"/>
      </dsp:txXfrm>
    </dsp:sp>
    <dsp:sp modelId="{065D5229-7AAE-44A4-A260-0678D2BAAD70}">
      <dsp:nvSpPr>
        <dsp:cNvPr id="0" name=""/>
        <dsp:cNvSpPr/>
      </dsp:nvSpPr>
      <dsp:spPr>
        <a:xfrm>
          <a:off x="1789405" y="-7212"/>
          <a:ext cx="498430" cy="38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j-lt"/>
          </a:endParaRPr>
        </a:p>
      </dsp:txBody>
      <dsp:txXfrm>
        <a:off x="1789405" y="70013"/>
        <a:ext cx="382593" cy="231675"/>
      </dsp:txXfrm>
    </dsp:sp>
    <dsp:sp modelId="{292EEF7D-98EB-4FE2-8050-6014BB7B6E05}">
      <dsp:nvSpPr>
        <dsp:cNvPr id="0" name=""/>
        <dsp:cNvSpPr/>
      </dsp:nvSpPr>
      <dsp:spPr>
        <a:xfrm>
          <a:off x="2494731" y="13049"/>
          <a:ext cx="1550885" cy="51839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Feb 24-28</a:t>
          </a:r>
        </a:p>
      </dsp:txBody>
      <dsp:txXfrm>
        <a:off x="2494731" y="13049"/>
        <a:ext cx="1550885" cy="345600"/>
      </dsp:txXfrm>
    </dsp:sp>
    <dsp:sp modelId="{E2C7E084-AB8F-4B76-8EFB-EABF0EF5E30B}">
      <dsp:nvSpPr>
        <dsp:cNvPr id="0" name=""/>
        <dsp:cNvSpPr/>
      </dsp:nvSpPr>
      <dsp:spPr>
        <a:xfrm>
          <a:off x="2812382" y="358649"/>
          <a:ext cx="1550885" cy="88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j-lt"/>
            </a:rPr>
            <a:t>Budget pre-meetings with departmental finance</a:t>
          </a:r>
        </a:p>
      </dsp:txBody>
      <dsp:txXfrm>
        <a:off x="2838320" y="384587"/>
        <a:ext cx="1499009" cy="833724"/>
      </dsp:txXfrm>
    </dsp:sp>
    <dsp:sp modelId="{A7CF2EFC-2E0C-4C9E-B8F7-5803E60C3BD3}">
      <dsp:nvSpPr>
        <dsp:cNvPr id="0" name=""/>
        <dsp:cNvSpPr/>
      </dsp:nvSpPr>
      <dsp:spPr>
        <a:xfrm>
          <a:off x="4280725" y="-7212"/>
          <a:ext cx="498430" cy="3861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+mj-lt"/>
          </a:endParaRPr>
        </a:p>
      </dsp:txBody>
      <dsp:txXfrm>
        <a:off x="4280725" y="70013"/>
        <a:ext cx="382593" cy="231675"/>
      </dsp:txXfrm>
    </dsp:sp>
    <dsp:sp modelId="{21D20550-FCB8-41B4-8A77-D7B711778849}">
      <dsp:nvSpPr>
        <dsp:cNvPr id="0" name=""/>
        <dsp:cNvSpPr/>
      </dsp:nvSpPr>
      <dsp:spPr>
        <a:xfrm>
          <a:off x="4986051" y="13049"/>
          <a:ext cx="1550885" cy="51839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>
              <a:latin typeface="+mj-lt"/>
            </a:rPr>
            <a:t>Mar 23-27</a:t>
          </a:r>
        </a:p>
      </dsp:txBody>
      <dsp:txXfrm>
        <a:off x="4986051" y="13049"/>
        <a:ext cx="1550885" cy="345600"/>
      </dsp:txXfrm>
    </dsp:sp>
    <dsp:sp modelId="{9338F137-7564-43C6-B6B7-1AAD56F0267B}">
      <dsp:nvSpPr>
        <dsp:cNvPr id="0" name=""/>
        <dsp:cNvSpPr/>
      </dsp:nvSpPr>
      <dsp:spPr>
        <a:xfrm>
          <a:off x="5303703" y="358649"/>
          <a:ext cx="1550885" cy="8856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 dirty="0">
              <a:latin typeface="+mj-lt"/>
            </a:rPr>
            <a:t>FINAL budget hearings with leadership</a:t>
          </a:r>
        </a:p>
      </dsp:txBody>
      <dsp:txXfrm>
        <a:off x="5329641" y="384587"/>
        <a:ext cx="1499009" cy="8337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FA0A1A-E4D5-4654-AB84-A11A57D005C4}">
      <dsp:nvSpPr>
        <dsp:cNvPr id="0" name=""/>
        <dsp:cNvSpPr/>
      </dsp:nvSpPr>
      <dsp:spPr>
        <a:xfrm>
          <a:off x="2143" y="16309"/>
          <a:ext cx="2089546" cy="3744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Universal</a:t>
          </a:r>
        </a:p>
      </dsp:txBody>
      <dsp:txXfrm>
        <a:off x="2143" y="16309"/>
        <a:ext cx="2089546" cy="374400"/>
      </dsp:txXfrm>
    </dsp:sp>
    <dsp:sp modelId="{3DB13699-735F-4678-9B1B-AEEFCA9B5224}">
      <dsp:nvSpPr>
        <dsp:cNvPr id="0" name=""/>
        <dsp:cNvSpPr/>
      </dsp:nvSpPr>
      <dsp:spPr>
        <a:xfrm>
          <a:off x="2143" y="390709"/>
          <a:ext cx="2089546" cy="154560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Staffing</a:t>
          </a:r>
          <a:r>
            <a:rPr lang="en-US" sz="1300" kern="1200" dirty="0"/>
            <a:t>: Annualized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Benefits</a:t>
          </a:r>
          <a:r>
            <a:rPr lang="en-US" sz="1300" kern="1200" dirty="0"/>
            <a:t>: Rolling 12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Non-Staffing</a:t>
          </a:r>
          <a:r>
            <a:rPr lang="en-US" sz="1300" kern="1200" dirty="0"/>
            <a:t>: Even</a:t>
          </a:r>
        </a:p>
      </dsp:txBody>
      <dsp:txXfrm>
        <a:off x="2143" y="390709"/>
        <a:ext cx="2089546" cy="1545606"/>
      </dsp:txXfrm>
    </dsp:sp>
    <dsp:sp modelId="{847F8B20-D722-4550-8759-3D473687CE40}">
      <dsp:nvSpPr>
        <dsp:cNvPr id="0" name=""/>
        <dsp:cNvSpPr/>
      </dsp:nvSpPr>
      <dsp:spPr>
        <a:xfrm>
          <a:off x="2384226" y="16309"/>
          <a:ext cx="2089546" cy="374400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UNCFP Entities</a:t>
          </a:r>
        </a:p>
      </dsp:txBody>
      <dsp:txXfrm>
        <a:off x="2384226" y="16309"/>
        <a:ext cx="2089546" cy="374400"/>
      </dsp:txXfrm>
    </dsp:sp>
    <dsp:sp modelId="{642AB661-C40E-4C93-AB0D-4AB801098E11}">
      <dsp:nvSpPr>
        <dsp:cNvPr id="0" name=""/>
        <dsp:cNvSpPr/>
      </dsp:nvSpPr>
      <dsp:spPr>
        <a:xfrm>
          <a:off x="2384226" y="390709"/>
          <a:ext cx="2089546" cy="1545606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Provider Volume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 dirty="0"/>
            <a:t>FY20 Projection: Rolling 12</a:t>
          </a:r>
        </a:p>
        <a:p>
          <a:pPr marL="228600" lvl="2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 dirty="0"/>
            <a:t>FY21 Budget: Based on FY18 Practice Plan charge spread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Other</a:t>
          </a:r>
          <a:r>
            <a:rPr lang="en-US" sz="1300" kern="1200" dirty="0"/>
            <a:t> </a:t>
          </a:r>
          <a:r>
            <a:rPr lang="en-US" sz="1300" b="1" kern="1200" dirty="0"/>
            <a:t>Revenue</a:t>
          </a:r>
          <a:r>
            <a:rPr lang="en-US" sz="1300" kern="1200" dirty="0"/>
            <a:t>: Even</a:t>
          </a:r>
        </a:p>
      </dsp:txBody>
      <dsp:txXfrm>
        <a:off x="2384226" y="390709"/>
        <a:ext cx="2089546" cy="1545606"/>
      </dsp:txXfrm>
    </dsp:sp>
    <dsp:sp modelId="{FD67B700-F51F-4FFC-ACC8-CEE7B0877999}">
      <dsp:nvSpPr>
        <dsp:cNvPr id="0" name=""/>
        <dsp:cNvSpPr/>
      </dsp:nvSpPr>
      <dsp:spPr>
        <a:xfrm>
          <a:off x="4766310" y="16309"/>
          <a:ext cx="2089546" cy="374400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 dirty="0"/>
            <a:t>SOM Entities</a:t>
          </a:r>
        </a:p>
      </dsp:txBody>
      <dsp:txXfrm>
        <a:off x="4766310" y="16309"/>
        <a:ext cx="2089546" cy="374400"/>
      </dsp:txXfrm>
    </dsp:sp>
    <dsp:sp modelId="{7AC00644-7514-430F-A50B-EBA30931C454}">
      <dsp:nvSpPr>
        <dsp:cNvPr id="0" name=""/>
        <dsp:cNvSpPr/>
      </dsp:nvSpPr>
      <dsp:spPr>
        <a:xfrm>
          <a:off x="4766310" y="390709"/>
          <a:ext cx="2089546" cy="1545606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 dirty="0"/>
            <a:t>Other</a:t>
          </a:r>
          <a:r>
            <a:rPr lang="en-US" sz="1300" kern="1200" dirty="0"/>
            <a:t> </a:t>
          </a:r>
          <a:r>
            <a:rPr lang="en-US" sz="1300" b="1" kern="1200" dirty="0"/>
            <a:t>Revenue</a:t>
          </a:r>
          <a:r>
            <a:rPr lang="en-US" sz="1300" kern="1200" dirty="0"/>
            <a:t>: Rolling 12</a:t>
          </a:r>
        </a:p>
      </dsp:txBody>
      <dsp:txXfrm>
        <a:off x="4766310" y="390709"/>
        <a:ext cx="2089546" cy="15456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0E11-FF18-4363-9182-8BB388BC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Hospitals</Company>
  <LinksUpToDate>false</LinksUpToDate>
  <CharactersWithSpaces>5574</CharactersWithSpaces>
  <SharedDoc>false</SharedDoc>
  <HLinks>
    <vt:vector size="12" baseType="variant">
      <vt:variant>
        <vt:i4>8323113</vt:i4>
      </vt:variant>
      <vt:variant>
        <vt:i4>3</vt:i4>
      </vt:variant>
      <vt:variant>
        <vt:i4>0</vt:i4>
      </vt:variant>
      <vt:variant>
        <vt:i4>5</vt:i4>
      </vt:variant>
      <vt:variant>
        <vt:lpwstr>mailto:nicole_sebik@med.unc.edu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http://www.med.unc.edu/fbo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Hospitals</dc:creator>
  <cp:lastModifiedBy>Gardner, Lauren Solana</cp:lastModifiedBy>
  <cp:revision>24</cp:revision>
  <cp:lastPrinted>2020-01-03T19:58:00Z</cp:lastPrinted>
  <dcterms:created xsi:type="dcterms:W3CDTF">2019-01-24T13:45:00Z</dcterms:created>
  <dcterms:modified xsi:type="dcterms:W3CDTF">2020-01-16T19:32:00Z</dcterms:modified>
</cp:coreProperties>
</file>