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7661" w14:textId="77777777" w:rsidR="00CF18C3" w:rsidRPr="00B41FA4" w:rsidRDefault="00CF18C3" w:rsidP="00CF18C3">
      <w:pPr>
        <w:pStyle w:val="Subtitle"/>
        <w:pBdr>
          <w:top w:val="single" w:sz="12" w:space="1" w:color="8DB3E2" w:themeColor="text2" w:themeTint="66"/>
        </w:pBdr>
        <w:rPr>
          <w:sz w:val="22"/>
        </w:rPr>
      </w:pPr>
    </w:p>
    <w:p w14:paraId="6387E08D" w14:textId="77777777" w:rsidR="00AF32B2" w:rsidRPr="00B41FA4" w:rsidRDefault="00AF32B2" w:rsidP="00AF32B2">
      <w:pPr>
        <w:pStyle w:val="Subtitle"/>
        <w:rPr>
          <w:color w:val="E36C0A" w:themeColor="accent6" w:themeShade="BF"/>
          <w:sz w:val="28"/>
        </w:rPr>
      </w:pPr>
      <w:r w:rsidRPr="00B41FA4">
        <w:rPr>
          <w:color w:val="E36C0A" w:themeColor="accent6" w:themeShade="BF"/>
          <w:sz w:val="28"/>
        </w:rPr>
        <w:t>How does this report help me?</w:t>
      </w:r>
    </w:p>
    <w:p w14:paraId="4992580A" w14:textId="29CED2AF" w:rsidR="00AF32B2" w:rsidRPr="00B41FA4" w:rsidRDefault="0062614A" w:rsidP="0062614A">
      <w:pPr>
        <w:rPr>
          <w:rFonts w:asciiTheme="majorHAnsi" w:hAnsiTheme="majorHAnsi" w:cs="Calibri"/>
          <w:bCs/>
          <w:sz w:val="22"/>
          <w:szCs w:val="22"/>
        </w:rPr>
      </w:pPr>
      <w:r w:rsidRPr="00B41FA4">
        <w:rPr>
          <w:rFonts w:asciiTheme="majorHAnsi" w:hAnsiTheme="majorHAnsi" w:cs="Calibri"/>
          <w:sz w:val="22"/>
          <w:szCs w:val="22"/>
        </w:rPr>
        <w:t xml:space="preserve">A SAS report was created to view the historic SOM funds (FY14 – December 31, 2019).  </w:t>
      </w:r>
      <w:r w:rsidR="00AF32B2" w:rsidRPr="00B41FA4">
        <w:rPr>
          <w:rFonts w:asciiTheme="majorHAnsi" w:hAnsiTheme="majorHAnsi" w:cs="Calibri"/>
          <w:bCs/>
          <w:sz w:val="22"/>
          <w:szCs w:val="22"/>
        </w:rPr>
        <w:t>The data in this report includes source, project ID, account, fund code type, etc. for your SOM funds (</w:t>
      </w:r>
      <w:r w:rsidRPr="00B41FA4">
        <w:rPr>
          <w:rFonts w:asciiTheme="majorHAnsi" w:hAnsiTheme="majorHAnsi" w:cs="Calibri"/>
          <w:bCs/>
          <w:sz w:val="22"/>
          <w:szCs w:val="22"/>
        </w:rPr>
        <w:t>T</w:t>
      </w:r>
      <w:r w:rsidR="00AF32B2" w:rsidRPr="00B41FA4">
        <w:rPr>
          <w:rFonts w:asciiTheme="majorHAnsi" w:hAnsiTheme="majorHAnsi" w:cs="Calibri"/>
          <w:bCs/>
          <w:sz w:val="22"/>
          <w:szCs w:val="22"/>
        </w:rPr>
        <w:t xml:space="preserve">rusts, </w:t>
      </w:r>
      <w:r w:rsidRPr="00B41FA4">
        <w:rPr>
          <w:rFonts w:asciiTheme="majorHAnsi" w:hAnsiTheme="majorHAnsi" w:cs="Calibri"/>
          <w:bCs/>
          <w:sz w:val="22"/>
          <w:szCs w:val="22"/>
        </w:rPr>
        <w:t>S</w:t>
      </w:r>
      <w:r w:rsidR="00AF32B2" w:rsidRPr="00B41FA4">
        <w:rPr>
          <w:rFonts w:asciiTheme="majorHAnsi" w:hAnsiTheme="majorHAnsi" w:cs="Calibri"/>
          <w:bCs/>
          <w:sz w:val="22"/>
          <w:szCs w:val="22"/>
        </w:rPr>
        <w:t xml:space="preserve">tate, F&amp;A, </w:t>
      </w:r>
      <w:r w:rsidRPr="00B41FA4">
        <w:rPr>
          <w:rFonts w:asciiTheme="majorHAnsi" w:hAnsiTheme="majorHAnsi" w:cs="Calibri"/>
          <w:bCs/>
          <w:sz w:val="22"/>
          <w:szCs w:val="22"/>
        </w:rPr>
        <w:t>and C</w:t>
      </w:r>
      <w:r w:rsidR="00AF32B2" w:rsidRPr="00B41FA4">
        <w:rPr>
          <w:rFonts w:asciiTheme="majorHAnsi" w:hAnsiTheme="majorHAnsi" w:cs="Calibri"/>
          <w:bCs/>
          <w:sz w:val="22"/>
          <w:szCs w:val="22"/>
        </w:rPr>
        <w:t xml:space="preserve">ontracts </w:t>
      </w:r>
      <w:r w:rsidRPr="00B41FA4">
        <w:rPr>
          <w:rFonts w:asciiTheme="majorHAnsi" w:hAnsiTheme="majorHAnsi" w:cs="Calibri"/>
          <w:bCs/>
          <w:sz w:val="22"/>
          <w:szCs w:val="22"/>
        </w:rPr>
        <w:t>&amp;</w:t>
      </w:r>
      <w:r w:rsidR="00AF32B2" w:rsidRPr="00B41FA4">
        <w:rPr>
          <w:rFonts w:asciiTheme="majorHAnsi" w:hAnsiTheme="majorHAnsi" w:cs="Calibri"/>
          <w:bCs/>
          <w:sz w:val="22"/>
          <w:szCs w:val="22"/>
        </w:rPr>
        <w:t xml:space="preserve"> </w:t>
      </w:r>
      <w:r w:rsidRPr="00B41FA4">
        <w:rPr>
          <w:rFonts w:asciiTheme="majorHAnsi" w:hAnsiTheme="majorHAnsi" w:cs="Calibri"/>
          <w:bCs/>
          <w:sz w:val="22"/>
          <w:szCs w:val="22"/>
        </w:rPr>
        <w:t>G</w:t>
      </w:r>
      <w:r w:rsidR="00AF32B2" w:rsidRPr="00B41FA4">
        <w:rPr>
          <w:rFonts w:asciiTheme="majorHAnsi" w:hAnsiTheme="majorHAnsi" w:cs="Calibri"/>
          <w:bCs/>
          <w:sz w:val="22"/>
          <w:szCs w:val="22"/>
        </w:rPr>
        <w:t>rants)</w:t>
      </w:r>
      <w:r w:rsidRPr="00B41FA4">
        <w:rPr>
          <w:rFonts w:asciiTheme="majorHAnsi" w:hAnsiTheme="majorHAnsi" w:cs="Calibri"/>
          <w:bCs/>
          <w:sz w:val="22"/>
          <w:szCs w:val="22"/>
        </w:rPr>
        <w:t>.</w:t>
      </w:r>
      <w:r w:rsidR="00AF32B2" w:rsidRPr="00B41FA4">
        <w:rPr>
          <w:rFonts w:asciiTheme="majorHAnsi" w:hAnsiTheme="majorHAnsi" w:cs="Calibri"/>
          <w:bCs/>
          <w:sz w:val="22"/>
          <w:szCs w:val="22"/>
        </w:rPr>
        <w:t xml:space="preserve">  </w:t>
      </w:r>
      <w:r w:rsidRPr="00B41FA4">
        <w:rPr>
          <w:rFonts w:asciiTheme="majorHAnsi" w:hAnsiTheme="majorHAnsi" w:cs="Calibri"/>
          <w:bCs/>
          <w:sz w:val="22"/>
          <w:szCs w:val="22"/>
        </w:rPr>
        <w:t>It’s suggested to pivot the data by fund type and/or source for Trusts to review the historic data.  This will help with the projections and FY21 budget input within Strata.</w:t>
      </w:r>
    </w:p>
    <w:p w14:paraId="51867AC3" w14:textId="77777777" w:rsidR="00424EFA" w:rsidRPr="00B41FA4" w:rsidRDefault="00424EFA" w:rsidP="005B2585">
      <w:pPr>
        <w:pStyle w:val="Subtitle"/>
        <w:rPr>
          <w:color w:val="E36C0A" w:themeColor="accent6" w:themeShade="BF"/>
          <w:sz w:val="28"/>
        </w:rPr>
      </w:pPr>
    </w:p>
    <w:p w14:paraId="53083F9D" w14:textId="2F207EFB" w:rsidR="005B2585" w:rsidRPr="00B41FA4" w:rsidRDefault="00CF623C" w:rsidP="005B2585">
      <w:pPr>
        <w:pStyle w:val="Subtitle"/>
        <w:rPr>
          <w:color w:val="E36C0A" w:themeColor="accent6" w:themeShade="BF"/>
          <w:sz w:val="28"/>
        </w:rPr>
      </w:pPr>
      <w:r w:rsidRPr="00B41FA4">
        <w:rPr>
          <w:color w:val="E36C0A" w:themeColor="accent6" w:themeShade="BF"/>
          <w:sz w:val="28"/>
        </w:rPr>
        <w:t>Steps</w:t>
      </w:r>
      <w:r w:rsidR="005B2585" w:rsidRPr="00B41FA4">
        <w:rPr>
          <w:color w:val="E36C0A" w:themeColor="accent6" w:themeShade="BF"/>
          <w:sz w:val="28"/>
        </w:rPr>
        <w:t xml:space="preserve"> </w:t>
      </w:r>
    </w:p>
    <w:p w14:paraId="7E7D45D2" w14:textId="6FF9B9C7" w:rsidR="0090670C" w:rsidRPr="00B41FA4" w:rsidRDefault="00D8286C" w:rsidP="0062614A">
      <w:pPr>
        <w:rPr>
          <w:rFonts w:asciiTheme="majorHAnsi" w:hAnsiTheme="majorHAnsi" w:cs="Calibri"/>
          <w:sz w:val="22"/>
          <w:szCs w:val="22"/>
        </w:rPr>
      </w:pPr>
      <w:r w:rsidRPr="00B41FA4">
        <w:rPr>
          <w:rFonts w:asciiTheme="majorHAnsi" w:hAnsiTheme="majorHAnsi"/>
          <w:noProof/>
        </w:rPr>
        <w:drawing>
          <wp:anchor distT="0" distB="0" distL="114300" distR="114300" simplePos="0" relativeHeight="251659264" behindDoc="0" locked="0" layoutInCell="1" allowOverlap="1" wp14:anchorId="53B51610" wp14:editId="12C22408">
            <wp:simplePos x="0" y="0"/>
            <wp:positionH relativeFrom="margin">
              <wp:posOffset>245324</wp:posOffset>
            </wp:positionH>
            <wp:positionV relativeFrom="paragraph">
              <wp:posOffset>618490</wp:posOffset>
            </wp:positionV>
            <wp:extent cx="6372225" cy="1774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72225" cy="1774145"/>
                    </a:xfrm>
                    <a:prstGeom prst="rect">
                      <a:avLst/>
                    </a:prstGeom>
                  </pic:spPr>
                </pic:pic>
              </a:graphicData>
            </a:graphic>
            <wp14:sizeRelH relativeFrom="page">
              <wp14:pctWidth>0</wp14:pctWidth>
            </wp14:sizeRelH>
            <wp14:sizeRelV relativeFrom="page">
              <wp14:pctHeight>0</wp14:pctHeight>
            </wp14:sizeRelV>
          </wp:anchor>
        </w:drawing>
      </w:r>
      <w:r w:rsidR="0062614A" w:rsidRPr="00B41FA4">
        <w:rPr>
          <w:rFonts w:asciiTheme="majorHAnsi" w:hAnsiTheme="majorHAnsi" w:cs="Calibri"/>
          <w:sz w:val="22"/>
          <w:szCs w:val="22"/>
        </w:rPr>
        <w:t xml:space="preserve">This report can be accessed via Infoporte School Reports </w:t>
      </w:r>
      <w:r w:rsidR="0062614A" w:rsidRPr="00B41FA4">
        <w:rPr>
          <w:rFonts w:asciiTheme="majorHAnsi" w:hAnsiTheme="majorHAnsi" w:cs="Calibri"/>
          <w:i/>
          <w:sz w:val="22"/>
          <w:szCs w:val="22"/>
        </w:rPr>
        <w:t>(Infoporte &gt; Home &gt; School Reports &gt; Budget &gt; SOM Budget Report)</w:t>
      </w:r>
      <w:r w:rsidR="0062614A" w:rsidRPr="00B41FA4">
        <w:rPr>
          <w:rFonts w:asciiTheme="majorHAnsi" w:hAnsiTheme="majorHAnsi" w:cs="Calibri"/>
          <w:sz w:val="22"/>
          <w:szCs w:val="22"/>
        </w:rPr>
        <w:t xml:space="preserve">.  </w:t>
      </w:r>
      <w:r w:rsidR="0062614A" w:rsidRPr="00B41FA4">
        <w:rPr>
          <w:rFonts w:asciiTheme="majorHAnsi" w:hAnsiTheme="majorHAnsi" w:cs="Calibri"/>
          <w:bCs/>
          <w:sz w:val="22"/>
          <w:szCs w:val="22"/>
        </w:rPr>
        <w:t xml:space="preserve">If you are having issues accessing and/or need access to School Reports, please contact Shane Alexander at </w:t>
      </w:r>
      <w:hyperlink r:id="rId9" w:history="1">
        <w:r w:rsidR="0062614A" w:rsidRPr="00B41FA4">
          <w:rPr>
            <w:rStyle w:val="Hyperlink"/>
            <w:rFonts w:asciiTheme="majorHAnsi" w:hAnsiTheme="majorHAnsi" w:cs="Calibri"/>
            <w:bCs/>
            <w:sz w:val="22"/>
            <w:szCs w:val="22"/>
          </w:rPr>
          <w:t>shane_alexander@med.unc.edu</w:t>
        </w:r>
      </w:hyperlink>
      <w:r w:rsidR="0062614A" w:rsidRPr="00B41FA4">
        <w:rPr>
          <w:rFonts w:asciiTheme="majorHAnsi" w:hAnsiTheme="majorHAnsi" w:cs="Calibri"/>
          <w:bCs/>
          <w:sz w:val="22"/>
          <w:szCs w:val="22"/>
        </w:rPr>
        <w:t>.</w:t>
      </w:r>
    </w:p>
    <w:p w14:paraId="427B56F9" w14:textId="22108CE4" w:rsidR="0062614A" w:rsidRPr="00B41FA4" w:rsidRDefault="0062614A" w:rsidP="0062614A">
      <w:pPr>
        <w:pStyle w:val="ListParagraph"/>
        <w:spacing w:before="0" w:beforeAutospacing="0" w:after="0" w:afterAutospacing="0"/>
        <w:ind w:left="360"/>
        <w:jc w:val="center"/>
        <w:rPr>
          <w:rFonts w:asciiTheme="majorHAnsi" w:hAnsiTheme="majorHAnsi" w:cs="Calibri"/>
          <w:b/>
          <w:i/>
          <w:sz w:val="22"/>
          <w:szCs w:val="22"/>
        </w:rPr>
      </w:pPr>
    </w:p>
    <w:p w14:paraId="7422EE0A" w14:textId="77777777" w:rsidR="0062614A" w:rsidRPr="00B41FA4" w:rsidRDefault="0062614A" w:rsidP="0090670C">
      <w:pPr>
        <w:pStyle w:val="ListParagraph"/>
        <w:numPr>
          <w:ilvl w:val="0"/>
          <w:numId w:val="12"/>
        </w:numPr>
        <w:spacing w:before="0" w:beforeAutospacing="0" w:after="0" w:afterAutospacing="0"/>
        <w:rPr>
          <w:rFonts w:asciiTheme="majorHAnsi" w:hAnsiTheme="majorHAnsi" w:cs="Calibri"/>
          <w:b/>
          <w:i/>
          <w:sz w:val="22"/>
          <w:szCs w:val="22"/>
        </w:rPr>
      </w:pPr>
      <w:r w:rsidRPr="00B41FA4">
        <w:rPr>
          <w:rFonts w:asciiTheme="majorHAnsi" w:hAnsiTheme="majorHAnsi" w:cs="Calibri"/>
          <w:b/>
          <w:sz w:val="22"/>
          <w:szCs w:val="22"/>
        </w:rPr>
        <w:t xml:space="preserve">Navigate to </w:t>
      </w:r>
      <w:r w:rsidRPr="00B41FA4">
        <w:rPr>
          <w:rFonts w:asciiTheme="majorHAnsi" w:hAnsiTheme="majorHAnsi" w:cs="Calibri"/>
          <w:b/>
          <w:i/>
          <w:sz w:val="22"/>
          <w:szCs w:val="22"/>
        </w:rPr>
        <w:t>Infoporte &gt; Home &gt; School Reports &gt; Budget &gt; SOM Budget Report &gt; Alternate Summary tab</w:t>
      </w:r>
      <w:r w:rsidRPr="00B41FA4">
        <w:rPr>
          <w:rFonts w:asciiTheme="majorHAnsi" w:hAnsiTheme="majorHAnsi" w:cs="Calibri"/>
          <w:b/>
          <w:sz w:val="22"/>
          <w:szCs w:val="22"/>
        </w:rPr>
        <w:t xml:space="preserve">.  </w:t>
      </w:r>
    </w:p>
    <w:p w14:paraId="26EC76B0" w14:textId="60FD6545" w:rsidR="0090670C" w:rsidRPr="00B41FA4" w:rsidRDefault="0090670C" w:rsidP="0090670C">
      <w:pPr>
        <w:pStyle w:val="ListParagraph"/>
        <w:numPr>
          <w:ilvl w:val="0"/>
          <w:numId w:val="12"/>
        </w:numPr>
        <w:spacing w:before="0" w:beforeAutospacing="0" w:after="0" w:afterAutospacing="0"/>
        <w:rPr>
          <w:rFonts w:asciiTheme="majorHAnsi" w:hAnsiTheme="majorHAnsi" w:cs="Calibri"/>
          <w:b/>
          <w:i/>
          <w:sz w:val="22"/>
          <w:szCs w:val="22"/>
        </w:rPr>
      </w:pPr>
      <w:r w:rsidRPr="00B41FA4">
        <w:rPr>
          <w:rFonts w:asciiTheme="majorHAnsi" w:hAnsiTheme="majorHAnsi" w:cs="Calibri"/>
          <w:b/>
          <w:sz w:val="22"/>
          <w:szCs w:val="22"/>
        </w:rPr>
        <w:t xml:space="preserve">Clear the </w:t>
      </w:r>
      <w:r w:rsidR="00AF32B2" w:rsidRPr="00B41FA4">
        <w:rPr>
          <w:rFonts w:asciiTheme="majorHAnsi" w:hAnsiTheme="majorHAnsi" w:cs="Calibri"/>
          <w:b/>
          <w:i/>
          <w:sz w:val="22"/>
          <w:szCs w:val="22"/>
        </w:rPr>
        <w:t>Fiscal Year</w:t>
      </w:r>
      <w:r w:rsidRPr="00B41FA4">
        <w:rPr>
          <w:rFonts w:asciiTheme="majorHAnsi" w:hAnsiTheme="majorHAnsi" w:cs="Calibri"/>
          <w:b/>
          <w:sz w:val="22"/>
          <w:szCs w:val="22"/>
        </w:rPr>
        <w:t xml:space="preserve"> filter so that all FY’s are selected.</w:t>
      </w:r>
    </w:p>
    <w:p w14:paraId="5891F8E8" w14:textId="0964884C" w:rsidR="00017D4C" w:rsidRPr="00B41FA4" w:rsidRDefault="001C3C70" w:rsidP="0090670C">
      <w:pPr>
        <w:pStyle w:val="ListParagraph"/>
        <w:numPr>
          <w:ilvl w:val="0"/>
          <w:numId w:val="12"/>
        </w:numPr>
        <w:spacing w:before="0" w:beforeAutospacing="0" w:after="0" w:afterAutospacing="0"/>
        <w:rPr>
          <w:rFonts w:asciiTheme="majorHAnsi" w:hAnsiTheme="majorHAnsi" w:cs="Calibri"/>
          <w:b/>
          <w:i/>
          <w:sz w:val="22"/>
          <w:szCs w:val="22"/>
        </w:rPr>
      </w:pPr>
      <w:r w:rsidRPr="00B41FA4">
        <w:rPr>
          <w:rFonts w:asciiTheme="majorHAnsi" w:hAnsiTheme="majorHAnsi" w:cs="Calibri"/>
          <w:b/>
          <w:sz w:val="22"/>
          <w:szCs w:val="22"/>
        </w:rPr>
        <w:t xml:space="preserve">Select your Department.  </w:t>
      </w:r>
    </w:p>
    <w:p w14:paraId="61B31B3E" w14:textId="7411C2F8" w:rsidR="00DF2FE1" w:rsidRPr="00B41FA4" w:rsidRDefault="0090670C" w:rsidP="001D3903">
      <w:pPr>
        <w:pStyle w:val="ListParagraph"/>
        <w:numPr>
          <w:ilvl w:val="0"/>
          <w:numId w:val="12"/>
        </w:numPr>
        <w:spacing w:before="0" w:beforeAutospacing="0" w:after="0" w:afterAutospacing="0"/>
        <w:rPr>
          <w:rFonts w:asciiTheme="majorHAnsi" w:hAnsiTheme="majorHAnsi" w:cs="Calibri"/>
          <w:i/>
          <w:szCs w:val="22"/>
        </w:rPr>
      </w:pPr>
      <w:r w:rsidRPr="00B41FA4">
        <w:rPr>
          <w:rFonts w:asciiTheme="majorHAnsi" w:hAnsiTheme="majorHAnsi" w:cs="Calibri"/>
          <w:b/>
          <w:sz w:val="22"/>
          <w:szCs w:val="22"/>
        </w:rPr>
        <w:t>Export the data from the detailed table at the bottom of the report.</w:t>
      </w:r>
    </w:p>
    <w:p w14:paraId="654893C9" w14:textId="6871A44B" w:rsidR="00B41FA4" w:rsidRPr="00B41FA4" w:rsidRDefault="00D8286C" w:rsidP="00B41FA4">
      <w:pPr>
        <w:pStyle w:val="ListParagraph"/>
        <w:tabs>
          <w:tab w:val="left" w:pos="285"/>
        </w:tabs>
        <w:spacing w:before="0" w:beforeAutospacing="0" w:after="0" w:afterAutospacing="0"/>
        <w:ind w:left="360"/>
        <w:rPr>
          <w:rFonts w:asciiTheme="majorHAnsi" w:hAnsiTheme="majorHAnsi"/>
          <w:noProof/>
          <w:sz w:val="22"/>
          <w:szCs w:val="22"/>
        </w:rPr>
      </w:pPr>
      <w:r w:rsidRPr="00B41FA4">
        <w:rPr>
          <w:rFonts w:asciiTheme="majorHAnsi" w:hAnsiTheme="majorHAnsi"/>
          <w:noProof/>
        </w:rPr>
        <w:drawing>
          <wp:anchor distT="0" distB="0" distL="114300" distR="114300" simplePos="0" relativeHeight="251658240" behindDoc="0" locked="0" layoutInCell="1" allowOverlap="1" wp14:anchorId="3C10A246" wp14:editId="6AB8C95B">
            <wp:simplePos x="0" y="0"/>
            <wp:positionH relativeFrom="margin">
              <wp:align>center</wp:align>
            </wp:positionH>
            <wp:positionV relativeFrom="paragraph">
              <wp:posOffset>250825</wp:posOffset>
            </wp:positionV>
            <wp:extent cx="6953250" cy="30975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309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0EC7" w14:textId="01D17968" w:rsidR="004612E5" w:rsidRPr="00755634" w:rsidRDefault="001D3903" w:rsidP="001D3903">
      <w:pPr>
        <w:pStyle w:val="ListParagraph"/>
        <w:numPr>
          <w:ilvl w:val="0"/>
          <w:numId w:val="12"/>
        </w:numPr>
        <w:tabs>
          <w:tab w:val="left" w:pos="285"/>
        </w:tabs>
        <w:rPr>
          <w:rFonts w:asciiTheme="majorHAnsi" w:hAnsiTheme="majorHAnsi"/>
          <w:noProof/>
          <w:sz w:val="22"/>
          <w:szCs w:val="22"/>
        </w:rPr>
      </w:pPr>
      <w:r w:rsidRPr="00B41FA4">
        <w:rPr>
          <w:rFonts w:asciiTheme="majorHAnsi" w:hAnsiTheme="majorHAnsi"/>
          <w:b/>
          <w:bCs/>
          <w:noProof/>
          <w:sz w:val="22"/>
          <w:szCs w:val="22"/>
        </w:rPr>
        <w:t>Insert the exported data in</w:t>
      </w:r>
      <w:r w:rsidR="008A0651">
        <w:rPr>
          <w:rFonts w:asciiTheme="majorHAnsi" w:hAnsiTheme="majorHAnsi"/>
          <w:b/>
          <w:bCs/>
          <w:noProof/>
          <w:sz w:val="22"/>
          <w:szCs w:val="22"/>
        </w:rPr>
        <w:t>to a</w:t>
      </w:r>
      <w:r w:rsidRPr="00B41FA4">
        <w:rPr>
          <w:rFonts w:asciiTheme="majorHAnsi" w:hAnsiTheme="majorHAnsi"/>
          <w:b/>
          <w:bCs/>
          <w:noProof/>
          <w:sz w:val="22"/>
          <w:szCs w:val="22"/>
        </w:rPr>
        <w:t xml:space="preserve"> pivot</w:t>
      </w:r>
      <w:r w:rsidR="00B41FA4" w:rsidRPr="00B41FA4">
        <w:rPr>
          <w:rFonts w:asciiTheme="majorHAnsi" w:hAnsiTheme="majorHAnsi"/>
          <w:noProof/>
          <w:sz w:val="22"/>
          <w:szCs w:val="22"/>
        </w:rPr>
        <w:t xml:space="preserve"> </w:t>
      </w:r>
      <w:r w:rsidR="00B41FA4" w:rsidRPr="00755634">
        <w:rPr>
          <w:rFonts w:asciiTheme="majorHAnsi" w:hAnsiTheme="majorHAnsi"/>
          <w:noProof/>
          <w:sz w:val="22"/>
          <w:szCs w:val="22"/>
        </w:rPr>
        <w:t xml:space="preserve">(see </w:t>
      </w:r>
      <w:hyperlink r:id="rId11" w:history="1">
        <w:r w:rsidR="00B41FA4" w:rsidRPr="00755634">
          <w:rPr>
            <w:rStyle w:val="Hyperlink"/>
            <w:rFonts w:asciiTheme="majorHAnsi" w:hAnsiTheme="majorHAnsi"/>
            <w:i/>
            <w:iCs/>
            <w:noProof/>
            <w:sz w:val="22"/>
            <w:szCs w:val="22"/>
          </w:rPr>
          <w:t>FY21 Budget Process_SOM Funds Pivot Example</w:t>
        </w:r>
      </w:hyperlink>
      <w:r w:rsidR="00B41FA4" w:rsidRPr="00755634">
        <w:rPr>
          <w:rFonts w:asciiTheme="majorHAnsi" w:hAnsiTheme="majorHAnsi"/>
          <w:noProof/>
          <w:sz w:val="22"/>
          <w:szCs w:val="22"/>
        </w:rPr>
        <w:t xml:space="preserve"> document on the </w:t>
      </w:r>
      <w:hyperlink r:id="rId12" w:history="1">
        <w:r w:rsidR="00B41FA4" w:rsidRPr="00755634">
          <w:rPr>
            <w:rStyle w:val="Hyperlink"/>
            <w:rFonts w:asciiTheme="majorHAnsi" w:hAnsiTheme="majorHAnsi"/>
            <w:i/>
            <w:iCs/>
            <w:noProof/>
            <w:sz w:val="22"/>
            <w:szCs w:val="22"/>
          </w:rPr>
          <w:t>FY21 Budget Process</w:t>
        </w:r>
      </w:hyperlink>
      <w:r w:rsidR="00B41FA4" w:rsidRPr="00755634">
        <w:rPr>
          <w:rFonts w:asciiTheme="majorHAnsi" w:hAnsiTheme="majorHAnsi"/>
          <w:noProof/>
          <w:sz w:val="22"/>
          <w:szCs w:val="22"/>
        </w:rPr>
        <w:t xml:space="preserve"> website)</w:t>
      </w:r>
      <w:r w:rsidRPr="00755634">
        <w:rPr>
          <w:rFonts w:asciiTheme="majorHAnsi" w:hAnsiTheme="majorHAnsi"/>
          <w:noProof/>
          <w:sz w:val="22"/>
          <w:szCs w:val="22"/>
        </w:rPr>
        <w:t xml:space="preserve">.  </w:t>
      </w:r>
    </w:p>
    <w:p w14:paraId="590A41CF" w14:textId="77777777" w:rsidR="00D8286C" w:rsidRDefault="00D8286C" w:rsidP="00D8286C">
      <w:pPr>
        <w:pStyle w:val="ListParagraph"/>
        <w:tabs>
          <w:tab w:val="left" w:pos="285"/>
        </w:tabs>
        <w:spacing w:before="0" w:beforeAutospacing="0" w:after="0" w:afterAutospacing="0"/>
        <w:ind w:left="360"/>
        <w:rPr>
          <w:rFonts w:asciiTheme="majorHAnsi" w:hAnsiTheme="majorHAnsi"/>
          <w:b/>
          <w:bCs/>
          <w:noProof/>
          <w:sz w:val="22"/>
          <w:szCs w:val="22"/>
        </w:rPr>
      </w:pPr>
    </w:p>
    <w:p w14:paraId="22F9D390" w14:textId="6CFA4A88" w:rsidR="002E1241" w:rsidRDefault="00B41FA4" w:rsidP="00B41FA4">
      <w:pPr>
        <w:pStyle w:val="ListParagraph"/>
        <w:numPr>
          <w:ilvl w:val="0"/>
          <w:numId w:val="12"/>
        </w:numPr>
        <w:tabs>
          <w:tab w:val="left" w:pos="285"/>
        </w:tabs>
        <w:rPr>
          <w:rFonts w:asciiTheme="majorHAnsi" w:hAnsiTheme="majorHAnsi"/>
          <w:b/>
          <w:bCs/>
          <w:noProof/>
          <w:sz w:val="22"/>
          <w:szCs w:val="22"/>
        </w:rPr>
      </w:pPr>
      <w:r w:rsidRPr="00B41FA4">
        <w:rPr>
          <w:rFonts w:asciiTheme="majorHAnsi" w:hAnsiTheme="majorHAnsi"/>
          <w:b/>
          <w:bCs/>
          <w:noProof/>
          <w:sz w:val="22"/>
          <w:szCs w:val="22"/>
        </w:rPr>
        <w:t>Select the fund code</w:t>
      </w:r>
      <w:r w:rsidR="008A0651">
        <w:rPr>
          <w:rFonts w:asciiTheme="majorHAnsi" w:hAnsiTheme="majorHAnsi"/>
          <w:b/>
          <w:bCs/>
          <w:noProof/>
          <w:sz w:val="22"/>
          <w:szCs w:val="22"/>
        </w:rPr>
        <w:t xml:space="preserve"> type</w:t>
      </w:r>
      <w:r w:rsidRPr="00B41FA4">
        <w:rPr>
          <w:rFonts w:asciiTheme="majorHAnsi" w:hAnsiTheme="majorHAnsi"/>
          <w:b/>
          <w:bCs/>
          <w:noProof/>
          <w:sz w:val="22"/>
          <w:szCs w:val="22"/>
        </w:rPr>
        <w:t xml:space="preserve"> you want to review from the filter. </w:t>
      </w:r>
      <w:r w:rsidR="002E1241">
        <w:rPr>
          <w:rFonts w:asciiTheme="majorHAnsi" w:hAnsiTheme="majorHAnsi"/>
          <w:b/>
          <w:bCs/>
          <w:noProof/>
          <w:sz w:val="22"/>
          <w:szCs w:val="22"/>
        </w:rPr>
        <w:t xml:space="preserve"> Your </w:t>
      </w:r>
      <w:r>
        <w:rPr>
          <w:rFonts w:asciiTheme="majorHAnsi" w:hAnsiTheme="majorHAnsi"/>
          <w:b/>
          <w:bCs/>
          <w:noProof/>
          <w:sz w:val="22"/>
          <w:szCs w:val="22"/>
        </w:rPr>
        <w:t>options will be</w:t>
      </w:r>
      <w:r w:rsidR="002E1241">
        <w:rPr>
          <w:rFonts w:asciiTheme="majorHAnsi" w:hAnsiTheme="majorHAnsi"/>
          <w:b/>
          <w:bCs/>
          <w:noProof/>
          <w:sz w:val="22"/>
          <w:szCs w:val="22"/>
        </w:rPr>
        <w:t xml:space="preserve">: </w:t>
      </w:r>
    </w:p>
    <w:p w14:paraId="0501DFB2" w14:textId="77777777" w:rsidR="002E1241" w:rsidRPr="002E1241" w:rsidRDefault="002E1241" w:rsidP="002E1241">
      <w:pPr>
        <w:pStyle w:val="ListParagraph"/>
        <w:numPr>
          <w:ilvl w:val="1"/>
          <w:numId w:val="12"/>
        </w:numPr>
        <w:tabs>
          <w:tab w:val="left" w:pos="285"/>
        </w:tabs>
        <w:rPr>
          <w:rFonts w:asciiTheme="majorHAnsi" w:hAnsiTheme="majorHAnsi"/>
          <w:noProof/>
          <w:sz w:val="22"/>
          <w:szCs w:val="22"/>
        </w:rPr>
      </w:pPr>
      <w:r w:rsidRPr="002E1241">
        <w:rPr>
          <w:rFonts w:asciiTheme="majorHAnsi" w:hAnsiTheme="majorHAnsi"/>
          <w:noProof/>
          <w:sz w:val="22"/>
          <w:szCs w:val="22"/>
        </w:rPr>
        <w:t>Gifts, Endowment Inc and Other</w:t>
      </w:r>
    </w:p>
    <w:p w14:paraId="76C139C4" w14:textId="77777777" w:rsidR="002E1241" w:rsidRPr="002E1241" w:rsidRDefault="002E1241" w:rsidP="002E1241">
      <w:pPr>
        <w:pStyle w:val="ListParagraph"/>
        <w:numPr>
          <w:ilvl w:val="1"/>
          <w:numId w:val="12"/>
        </w:numPr>
        <w:tabs>
          <w:tab w:val="left" w:pos="285"/>
        </w:tabs>
        <w:rPr>
          <w:rFonts w:asciiTheme="majorHAnsi" w:hAnsiTheme="majorHAnsi"/>
          <w:noProof/>
          <w:sz w:val="22"/>
          <w:szCs w:val="22"/>
        </w:rPr>
      </w:pPr>
      <w:r w:rsidRPr="002E1241">
        <w:rPr>
          <w:rFonts w:asciiTheme="majorHAnsi" w:hAnsiTheme="majorHAnsi"/>
          <w:noProof/>
          <w:sz w:val="22"/>
          <w:szCs w:val="22"/>
        </w:rPr>
        <w:t>State</w:t>
      </w:r>
    </w:p>
    <w:p w14:paraId="52DDD097" w14:textId="77777777" w:rsidR="002E1241" w:rsidRPr="002E1241" w:rsidRDefault="002E1241" w:rsidP="002E1241">
      <w:pPr>
        <w:pStyle w:val="ListParagraph"/>
        <w:numPr>
          <w:ilvl w:val="1"/>
          <w:numId w:val="12"/>
        </w:numPr>
        <w:tabs>
          <w:tab w:val="left" w:pos="285"/>
        </w:tabs>
        <w:rPr>
          <w:rFonts w:asciiTheme="majorHAnsi" w:hAnsiTheme="majorHAnsi"/>
          <w:noProof/>
          <w:sz w:val="22"/>
          <w:szCs w:val="22"/>
        </w:rPr>
      </w:pPr>
      <w:r w:rsidRPr="002E1241">
        <w:rPr>
          <w:rFonts w:asciiTheme="majorHAnsi" w:hAnsiTheme="majorHAnsi"/>
          <w:noProof/>
          <w:sz w:val="22"/>
          <w:szCs w:val="22"/>
        </w:rPr>
        <w:t>Overhead</w:t>
      </w:r>
    </w:p>
    <w:p w14:paraId="719F7CDF" w14:textId="0905E2B3" w:rsidR="002E1241" w:rsidRDefault="002E1241" w:rsidP="002E1241">
      <w:pPr>
        <w:pStyle w:val="ListParagraph"/>
        <w:numPr>
          <w:ilvl w:val="1"/>
          <w:numId w:val="12"/>
        </w:numPr>
        <w:tabs>
          <w:tab w:val="left" w:pos="285"/>
        </w:tabs>
        <w:spacing w:before="0" w:beforeAutospacing="0" w:after="0" w:afterAutospacing="0"/>
        <w:rPr>
          <w:rFonts w:asciiTheme="majorHAnsi" w:hAnsiTheme="majorHAnsi"/>
          <w:noProof/>
          <w:sz w:val="22"/>
          <w:szCs w:val="22"/>
        </w:rPr>
      </w:pPr>
      <w:r w:rsidRPr="002E1241">
        <w:rPr>
          <w:rFonts w:asciiTheme="majorHAnsi" w:hAnsiTheme="majorHAnsi"/>
          <w:noProof/>
          <w:sz w:val="22"/>
          <w:szCs w:val="22"/>
        </w:rPr>
        <w:t xml:space="preserve">Contracts </w:t>
      </w:r>
      <w:r>
        <w:rPr>
          <w:rFonts w:asciiTheme="majorHAnsi" w:hAnsiTheme="majorHAnsi"/>
          <w:noProof/>
          <w:sz w:val="22"/>
          <w:szCs w:val="22"/>
        </w:rPr>
        <w:t>and</w:t>
      </w:r>
      <w:r w:rsidRPr="002E1241">
        <w:rPr>
          <w:rFonts w:asciiTheme="majorHAnsi" w:hAnsiTheme="majorHAnsi"/>
          <w:noProof/>
          <w:sz w:val="22"/>
          <w:szCs w:val="22"/>
        </w:rPr>
        <w:t xml:space="preserve"> Grants</w:t>
      </w:r>
    </w:p>
    <w:p w14:paraId="41D6A23A" w14:textId="681BCB5F" w:rsidR="002E1241" w:rsidRDefault="002E1241" w:rsidP="002E1241">
      <w:pPr>
        <w:pStyle w:val="ListParagraph"/>
        <w:numPr>
          <w:ilvl w:val="1"/>
          <w:numId w:val="12"/>
        </w:numPr>
        <w:tabs>
          <w:tab w:val="left" w:pos="285"/>
        </w:tabs>
        <w:spacing w:before="0" w:beforeAutospacing="0" w:after="0" w:afterAutospacing="0"/>
        <w:rPr>
          <w:rFonts w:asciiTheme="majorHAnsi" w:hAnsiTheme="majorHAnsi"/>
          <w:noProof/>
          <w:sz w:val="22"/>
          <w:szCs w:val="22"/>
        </w:rPr>
      </w:pPr>
      <w:r>
        <w:rPr>
          <w:rFonts w:asciiTheme="majorHAnsi" w:hAnsiTheme="majorHAnsi"/>
          <w:noProof/>
          <w:sz w:val="22"/>
          <w:szCs w:val="22"/>
        </w:rPr>
        <w:t>Aux</w:t>
      </w:r>
      <w:r w:rsidR="00580FB9">
        <w:rPr>
          <w:rFonts w:asciiTheme="majorHAnsi" w:hAnsiTheme="majorHAnsi"/>
          <w:noProof/>
          <w:sz w:val="22"/>
          <w:szCs w:val="22"/>
        </w:rPr>
        <w:t>/</w:t>
      </w:r>
      <w:r>
        <w:rPr>
          <w:rFonts w:asciiTheme="majorHAnsi" w:hAnsiTheme="majorHAnsi"/>
          <w:noProof/>
          <w:sz w:val="22"/>
          <w:szCs w:val="22"/>
        </w:rPr>
        <w:t>Recharge</w:t>
      </w:r>
      <w:r w:rsidR="00580FB9">
        <w:rPr>
          <w:rFonts w:asciiTheme="majorHAnsi" w:hAnsiTheme="majorHAnsi"/>
          <w:noProof/>
          <w:sz w:val="22"/>
          <w:szCs w:val="22"/>
        </w:rPr>
        <w:t>-</w:t>
      </w:r>
      <w:r>
        <w:rPr>
          <w:rFonts w:asciiTheme="majorHAnsi" w:hAnsiTheme="majorHAnsi"/>
          <w:noProof/>
          <w:sz w:val="22"/>
          <w:szCs w:val="22"/>
        </w:rPr>
        <w:t>Core</w:t>
      </w:r>
      <w:r w:rsidR="00580FB9">
        <w:rPr>
          <w:rFonts w:asciiTheme="majorHAnsi" w:hAnsiTheme="majorHAnsi"/>
          <w:noProof/>
          <w:sz w:val="22"/>
          <w:szCs w:val="22"/>
        </w:rPr>
        <w:t xml:space="preserve"> Facilities </w:t>
      </w:r>
    </w:p>
    <w:p w14:paraId="0D55EE88" w14:textId="54E8C1AC" w:rsidR="008A0651" w:rsidRDefault="008A0651" w:rsidP="008A0651">
      <w:pPr>
        <w:tabs>
          <w:tab w:val="left" w:pos="285"/>
        </w:tabs>
        <w:rPr>
          <w:rFonts w:asciiTheme="majorHAnsi" w:hAnsiTheme="majorHAnsi"/>
          <w:i/>
          <w:iCs/>
          <w:noProof/>
          <w:color w:val="4F81BD" w:themeColor="accent1"/>
          <w:sz w:val="22"/>
          <w:szCs w:val="22"/>
        </w:rPr>
      </w:pPr>
      <w:r w:rsidRPr="008A0651">
        <w:rPr>
          <w:rFonts w:asciiTheme="majorHAnsi" w:hAnsiTheme="majorHAnsi"/>
          <w:i/>
          <w:iCs/>
          <w:noProof/>
          <w:color w:val="4F81BD" w:themeColor="accent1"/>
          <w:sz w:val="22"/>
          <w:szCs w:val="22"/>
        </w:rPr>
        <w:t>Please note: it may be necessary to also select a fund code and/or source range</w:t>
      </w:r>
    </w:p>
    <w:p w14:paraId="005AD12F" w14:textId="3717A88E" w:rsidR="00446711" w:rsidRDefault="00446711" w:rsidP="008A0651">
      <w:pPr>
        <w:tabs>
          <w:tab w:val="left" w:pos="285"/>
        </w:tabs>
        <w:rPr>
          <w:rFonts w:asciiTheme="majorHAnsi" w:hAnsiTheme="majorHAnsi"/>
          <w:i/>
          <w:iCs/>
          <w:noProof/>
          <w:color w:val="4F81BD" w:themeColor="accent1"/>
          <w:sz w:val="22"/>
          <w:szCs w:val="22"/>
        </w:rPr>
      </w:pPr>
    </w:p>
    <w:p w14:paraId="21AA1712" w14:textId="77CB431E" w:rsidR="00446711" w:rsidRPr="008A0651" w:rsidRDefault="00446711" w:rsidP="008A0651">
      <w:pPr>
        <w:tabs>
          <w:tab w:val="left" w:pos="285"/>
        </w:tabs>
        <w:rPr>
          <w:rFonts w:asciiTheme="majorHAnsi" w:hAnsiTheme="majorHAnsi"/>
          <w:i/>
          <w:iCs/>
          <w:noProof/>
          <w:color w:val="4F81BD" w:themeColor="accent1"/>
          <w:sz w:val="22"/>
          <w:szCs w:val="22"/>
        </w:rPr>
      </w:pPr>
      <w:r>
        <w:rPr>
          <w:noProof/>
        </w:rPr>
        <w:drawing>
          <wp:inline distT="0" distB="0" distL="0" distR="0" wp14:anchorId="44BDD5D8" wp14:editId="04C7C022">
            <wp:extent cx="6858000"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703320"/>
                    </a:xfrm>
                    <a:prstGeom prst="rect">
                      <a:avLst/>
                    </a:prstGeom>
                    <a:noFill/>
                    <a:ln>
                      <a:noFill/>
                    </a:ln>
                  </pic:spPr>
                </pic:pic>
              </a:graphicData>
            </a:graphic>
          </wp:inline>
        </w:drawing>
      </w:r>
    </w:p>
    <w:p w14:paraId="491DA54B" w14:textId="769C6A16" w:rsidR="00B41FA4" w:rsidRPr="00580FB9" w:rsidRDefault="002E1241" w:rsidP="00580FB9">
      <w:pPr>
        <w:pStyle w:val="ListParagraph"/>
        <w:numPr>
          <w:ilvl w:val="0"/>
          <w:numId w:val="12"/>
        </w:numPr>
        <w:tabs>
          <w:tab w:val="left" w:pos="285"/>
        </w:tabs>
        <w:rPr>
          <w:rFonts w:asciiTheme="majorHAnsi" w:hAnsiTheme="majorHAnsi"/>
          <w:b/>
          <w:bCs/>
          <w:noProof/>
          <w:sz w:val="22"/>
          <w:szCs w:val="22"/>
        </w:rPr>
      </w:pPr>
      <w:r w:rsidRPr="00580FB9">
        <w:rPr>
          <w:rFonts w:asciiTheme="majorHAnsi" w:hAnsiTheme="majorHAnsi"/>
          <w:b/>
          <w:bCs/>
          <w:noProof/>
          <w:sz w:val="22"/>
          <w:szCs w:val="22"/>
        </w:rPr>
        <w:t xml:space="preserve">You can utilize this pivot to review actuals and to project out </w:t>
      </w:r>
      <w:r w:rsidR="00580FB9" w:rsidRPr="00580FB9">
        <w:rPr>
          <w:rFonts w:asciiTheme="majorHAnsi" w:hAnsiTheme="majorHAnsi"/>
          <w:b/>
          <w:bCs/>
          <w:noProof/>
          <w:sz w:val="22"/>
          <w:szCs w:val="22"/>
        </w:rPr>
        <w:t xml:space="preserve">by selecting the appropriate fund type and sources </w:t>
      </w:r>
      <w:r w:rsidR="00580FB9">
        <w:rPr>
          <w:rFonts w:asciiTheme="majorHAnsi" w:hAnsiTheme="majorHAnsi"/>
          <w:b/>
          <w:bCs/>
          <w:noProof/>
          <w:sz w:val="22"/>
          <w:szCs w:val="22"/>
        </w:rPr>
        <w:t>that</w:t>
      </w:r>
      <w:r w:rsidR="00580FB9" w:rsidRPr="00580FB9">
        <w:rPr>
          <w:rFonts w:asciiTheme="majorHAnsi" w:hAnsiTheme="majorHAnsi"/>
          <w:b/>
          <w:bCs/>
          <w:noProof/>
          <w:sz w:val="22"/>
          <w:szCs w:val="22"/>
        </w:rPr>
        <w:t xml:space="preserve"> tie to your Strata entities.  See table below for fund type</w:t>
      </w:r>
      <w:r w:rsidR="00580FB9">
        <w:rPr>
          <w:rFonts w:asciiTheme="majorHAnsi" w:hAnsiTheme="majorHAnsi"/>
          <w:b/>
          <w:bCs/>
          <w:noProof/>
          <w:sz w:val="22"/>
          <w:szCs w:val="22"/>
        </w:rPr>
        <w:t xml:space="preserve"> and Strata entity crosswalk.</w:t>
      </w:r>
    </w:p>
    <w:tbl>
      <w:tblPr>
        <w:tblW w:w="7140" w:type="dxa"/>
        <w:jc w:val="center"/>
        <w:tblCellMar>
          <w:left w:w="0" w:type="dxa"/>
          <w:right w:w="0" w:type="dxa"/>
        </w:tblCellMar>
        <w:tblLook w:val="0420" w:firstRow="1" w:lastRow="0" w:firstColumn="0" w:lastColumn="0" w:noHBand="0" w:noVBand="1"/>
      </w:tblPr>
      <w:tblGrid>
        <w:gridCol w:w="900"/>
        <w:gridCol w:w="6240"/>
      </w:tblGrid>
      <w:tr w:rsidR="00B41FA4" w:rsidRPr="00B41FA4" w14:paraId="36F83177" w14:textId="77777777" w:rsidTr="00B41FA4">
        <w:trPr>
          <w:trHeight w:val="20"/>
          <w:jc w:val="center"/>
        </w:trPr>
        <w:tc>
          <w:tcPr>
            <w:tcW w:w="900" w:type="dxa"/>
            <w:tcBorders>
              <w:top w:val="single" w:sz="8" w:space="0" w:color="02528A"/>
              <w:left w:val="single" w:sz="8" w:space="0" w:color="02528A"/>
              <w:bottom w:val="single" w:sz="18" w:space="0" w:color="02528A"/>
              <w:right w:val="single" w:sz="8" w:space="0" w:color="02528A"/>
            </w:tcBorders>
            <w:shd w:val="clear" w:color="auto" w:fill="02528A"/>
            <w:tcMar>
              <w:top w:w="15" w:type="dxa"/>
              <w:left w:w="15" w:type="dxa"/>
              <w:bottom w:w="0" w:type="dxa"/>
              <w:right w:w="15" w:type="dxa"/>
            </w:tcMar>
            <w:vAlign w:val="center"/>
            <w:hideMark/>
          </w:tcPr>
          <w:p w14:paraId="7C326F23"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b/>
                <w:bCs/>
                <w:color w:val="FFFFFF"/>
                <w:kern w:val="24"/>
                <w:sz w:val="22"/>
                <w:szCs w:val="22"/>
              </w:rPr>
              <w:t>PS Fund</w:t>
            </w:r>
          </w:p>
        </w:tc>
        <w:tc>
          <w:tcPr>
            <w:tcW w:w="6240" w:type="dxa"/>
            <w:tcBorders>
              <w:top w:val="single" w:sz="8" w:space="0" w:color="02528A"/>
              <w:left w:val="single" w:sz="8" w:space="0" w:color="02528A"/>
              <w:bottom w:val="single" w:sz="18" w:space="0" w:color="02528A"/>
              <w:right w:val="single" w:sz="8" w:space="0" w:color="02528A"/>
            </w:tcBorders>
            <w:shd w:val="clear" w:color="auto" w:fill="02528A"/>
            <w:tcMar>
              <w:top w:w="15" w:type="dxa"/>
              <w:left w:w="15" w:type="dxa"/>
              <w:bottom w:w="0" w:type="dxa"/>
              <w:right w:w="15" w:type="dxa"/>
            </w:tcMar>
            <w:vAlign w:val="center"/>
            <w:hideMark/>
          </w:tcPr>
          <w:p w14:paraId="35DE949E"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b/>
                <w:bCs/>
                <w:color w:val="FFFFFF"/>
                <w:kern w:val="24"/>
                <w:sz w:val="22"/>
                <w:szCs w:val="22"/>
              </w:rPr>
              <w:t>Strata "Entity"</w:t>
            </w:r>
          </w:p>
        </w:tc>
      </w:tr>
      <w:tr w:rsidR="00B41FA4" w:rsidRPr="00B41FA4" w14:paraId="5489960A" w14:textId="77777777" w:rsidTr="00B41FA4">
        <w:trPr>
          <w:trHeight w:val="20"/>
          <w:jc w:val="center"/>
        </w:trPr>
        <w:tc>
          <w:tcPr>
            <w:tcW w:w="900" w:type="dxa"/>
            <w:tcBorders>
              <w:top w:val="single" w:sz="1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6A8E6151"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285</w:t>
            </w:r>
          </w:p>
        </w:tc>
        <w:tc>
          <w:tcPr>
            <w:tcW w:w="6240" w:type="dxa"/>
            <w:tcBorders>
              <w:top w:val="single" w:sz="1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73385E61"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UNCFP</w:t>
            </w:r>
          </w:p>
        </w:tc>
      </w:tr>
      <w:tr w:rsidR="00B41FA4" w:rsidRPr="00B41FA4" w14:paraId="1602BC12"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3D4DDF91"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201</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6F8680A9"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State AA</w:t>
            </w:r>
          </w:p>
        </w:tc>
      </w:tr>
      <w:tr w:rsidR="00B41FA4" w:rsidRPr="00B41FA4" w14:paraId="6F51EFCF"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01F5CEF1"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211</w:t>
            </w:r>
          </w:p>
        </w:tc>
        <w:tc>
          <w:tcPr>
            <w:tcW w:w="624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4E10A334"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State HA</w:t>
            </w:r>
          </w:p>
        </w:tc>
      </w:tr>
      <w:tr w:rsidR="00B41FA4" w:rsidRPr="00B41FA4" w14:paraId="07E970E7"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3569DAF3"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221</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390174C5"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State AHEC</w:t>
            </w:r>
          </w:p>
        </w:tc>
      </w:tr>
      <w:tr w:rsidR="00B41FA4" w:rsidRPr="00B41FA4" w14:paraId="6C7CAA8C"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219CFE66"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241</w:t>
            </w:r>
          </w:p>
        </w:tc>
        <w:tc>
          <w:tcPr>
            <w:tcW w:w="624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1ED8568A"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Residuals</w:t>
            </w:r>
          </w:p>
        </w:tc>
      </w:tr>
      <w:tr w:rsidR="00B41FA4" w:rsidRPr="00B41FA4" w14:paraId="1067F741"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05A7A277"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252</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0B106E66"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Contracts and Grants</w:t>
            </w:r>
          </w:p>
        </w:tc>
      </w:tr>
      <w:tr w:rsidR="00B41FA4" w:rsidRPr="00B41FA4" w14:paraId="738EF507"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7F8534ED"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271</w:t>
            </w:r>
          </w:p>
        </w:tc>
        <w:tc>
          <w:tcPr>
            <w:tcW w:w="624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344C70C5"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Overhead</w:t>
            </w:r>
          </w:p>
        </w:tc>
      </w:tr>
      <w:tr w:rsidR="00B41FA4" w:rsidRPr="00B41FA4" w14:paraId="65D140FF"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4E5B07FA"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281</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154DD42B"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 xml:space="preserve">SOM - Endowment Inc </w:t>
            </w:r>
            <w:proofErr w:type="spellStart"/>
            <w:r w:rsidRPr="00B41FA4">
              <w:rPr>
                <w:rFonts w:asciiTheme="majorHAnsi" w:hAnsiTheme="majorHAnsi" w:cs="Arial"/>
                <w:color w:val="000000"/>
                <w:kern w:val="24"/>
                <w:sz w:val="22"/>
                <w:szCs w:val="22"/>
              </w:rPr>
              <w:t>Unrestr</w:t>
            </w:r>
            <w:proofErr w:type="spellEnd"/>
          </w:p>
        </w:tc>
      </w:tr>
      <w:tr w:rsidR="00B41FA4" w:rsidRPr="00B41FA4" w14:paraId="631181C5"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27B76C80"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282</w:t>
            </w:r>
          </w:p>
        </w:tc>
        <w:tc>
          <w:tcPr>
            <w:tcW w:w="624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42CA39A0"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 xml:space="preserve">SOM - Endowment Inc </w:t>
            </w:r>
            <w:proofErr w:type="spellStart"/>
            <w:r w:rsidRPr="00B41FA4">
              <w:rPr>
                <w:rFonts w:asciiTheme="majorHAnsi" w:hAnsiTheme="majorHAnsi" w:cs="Arial"/>
                <w:color w:val="000000"/>
                <w:kern w:val="24"/>
                <w:sz w:val="22"/>
                <w:szCs w:val="22"/>
              </w:rPr>
              <w:t>Restr</w:t>
            </w:r>
            <w:proofErr w:type="spellEnd"/>
          </w:p>
        </w:tc>
      </w:tr>
      <w:tr w:rsidR="00B41FA4" w:rsidRPr="00B41FA4" w14:paraId="337CCCF6"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31AC49D2"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291</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3998BC4E"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 xml:space="preserve">SOM - Gifts-Endowment Inc and Other </w:t>
            </w:r>
            <w:proofErr w:type="spellStart"/>
            <w:r w:rsidRPr="00B41FA4">
              <w:rPr>
                <w:rFonts w:asciiTheme="majorHAnsi" w:hAnsiTheme="majorHAnsi" w:cs="Arial"/>
                <w:color w:val="000000"/>
                <w:kern w:val="24"/>
                <w:sz w:val="22"/>
                <w:szCs w:val="22"/>
              </w:rPr>
              <w:t>Unrestr</w:t>
            </w:r>
            <w:proofErr w:type="spellEnd"/>
          </w:p>
        </w:tc>
      </w:tr>
      <w:tr w:rsidR="00B41FA4" w:rsidRPr="00B41FA4" w14:paraId="6C5D0989"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55CFBDED"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292</w:t>
            </w:r>
          </w:p>
        </w:tc>
        <w:tc>
          <w:tcPr>
            <w:tcW w:w="6240" w:type="dxa"/>
            <w:tcBorders>
              <w:top w:val="single" w:sz="8" w:space="0" w:color="02528A"/>
              <w:left w:val="single" w:sz="8" w:space="0" w:color="02528A"/>
              <w:bottom w:val="single" w:sz="8" w:space="0" w:color="02528A"/>
              <w:right w:val="single" w:sz="8" w:space="0" w:color="02528A"/>
            </w:tcBorders>
            <w:shd w:val="clear" w:color="auto" w:fill="E7E9ED"/>
            <w:tcMar>
              <w:top w:w="15" w:type="dxa"/>
              <w:left w:w="15" w:type="dxa"/>
              <w:bottom w:w="0" w:type="dxa"/>
              <w:right w:w="15" w:type="dxa"/>
            </w:tcMar>
            <w:vAlign w:val="center"/>
            <w:hideMark/>
          </w:tcPr>
          <w:p w14:paraId="1DB60EA8"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 xml:space="preserve">SOM - Gifts-Endowment Inc and Other </w:t>
            </w:r>
            <w:proofErr w:type="spellStart"/>
            <w:r w:rsidRPr="00B41FA4">
              <w:rPr>
                <w:rFonts w:asciiTheme="majorHAnsi" w:hAnsiTheme="majorHAnsi" w:cs="Arial"/>
                <w:color w:val="000000"/>
                <w:kern w:val="24"/>
                <w:sz w:val="22"/>
                <w:szCs w:val="22"/>
              </w:rPr>
              <w:t>Restr</w:t>
            </w:r>
            <w:proofErr w:type="spellEnd"/>
          </w:p>
        </w:tc>
      </w:tr>
      <w:tr w:rsidR="00B41FA4" w:rsidRPr="00B41FA4" w14:paraId="1F712FA5" w14:textId="77777777" w:rsidTr="00B41FA4">
        <w:trPr>
          <w:trHeight w:val="20"/>
          <w:jc w:val="center"/>
        </w:trPr>
        <w:tc>
          <w:tcPr>
            <w:tcW w:w="90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4843CA0D" w14:textId="77777777" w:rsidR="00B41FA4" w:rsidRPr="00B41FA4" w:rsidRDefault="00B41FA4" w:rsidP="00B41FA4">
            <w:pPr>
              <w:overflowPunct/>
              <w:autoSpaceDE/>
              <w:autoSpaceDN/>
              <w:adjustRightInd/>
              <w:jc w:val="center"/>
              <w:textAlignment w:val="center"/>
              <w:rPr>
                <w:rFonts w:asciiTheme="majorHAnsi" w:hAnsiTheme="majorHAnsi" w:cs="Arial"/>
                <w:sz w:val="22"/>
                <w:szCs w:val="22"/>
              </w:rPr>
            </w:pPr>
            <w:r w:rsidRPr="00B41FA4">
              <w:rPr>
                <w:rFonts w:asciiTheme="majorHAnsi" w:hAnsiTheme="majorHAnsi" w:cs="Arial"/>
                <w:color w:val="000000"/>
                <w:kern w:val="24"/>
                <w:sz w:val="22"/>
                <w:szCs w:val="22"/>
              </w:rPr>
              <w:t>295</w:t>
            </w:r>
          </w:p>
        </w:tc>
        <w:tc>
          <w:tcPr>
            <w:tcW w:w="6240" w:type="dxa"/>
            <w:tcBorders>
              <w:top w:val="single" w:sz="8" w:space="0" w:color="02528A"/>
              <w:left w:val="single" w:sz="8" w:space="0" w:color="02528A"/>
              <w:bottom w:val="single" w:sz="8" w:space="0" w:color="02528A"/>
              <w:right w:val="single" w:sz="8" w:space="0" w:color="02528A"/>
            </w:tcBorders>
            <w:shd w:val="clear" w:color="auto" w:fill="auto"/>
            <w:tcMar>
              <w:top w:w="15" w:type="dxa"/>
              <w:left w:w="15" w:type="dxa"/>
              <w:bottom w:w="0" w:type="dxa"/>
              <w:right w:w="15" w:type="dxa"/>
            </w:tcMar>
            <w:vAlign w:val="center"/>
            <w:hideMark/>
          </w:tcPr>
          <w:p w14:paraId="6BAB232C" w14:textId="77777777" w:rsidR="00B41FA4" w:rsidRPr="00B41FA4" w:rsidRDefault="00B41FA4" w:rsidP="00B41FA4">
            <w:pPr>
              <w:overflowPunct/>
              <w:autoSpaceDE/>
              <w:autoSpaceDN/>
              <w:adjustRightInd/>
              <w:textAlignment w:val="center"/>
              <w:rPr>
                <w:rFonts w:asciiTheme="majorHAnsi" w:hAnsiTheme="majorHAnsi" w:cs="Arial"/>
                <w:sz w:val="22"/>
                <w:szCs w:val="22"/>
              </w:rPr>
            </w:pPr>
            <w:r w:rsidRPr="00B41FA4">
              <w:rPr>
                <w:rFonts w:asciiTheme="majorHAnsi" w:hAnsiTheme="majorHAnsi" w:cs="Arial"/>
                <w:color w:val="000000"/>
                <w:kern w:val="24"/>
                <w:sz w:val="22"/>
                <w:szCs w:val="22"/>
              </w:rPr>
              <w:t>SOM - Auxiliary-Recharge-Core Facilities</w:t>
            </w:r>
          </w:p>
        </w:tc>
      </w:tr>
    </w:tbl>
    <w:p w14:paraId="2F98A161" w14:textId="77777777" w:rsidR="00D8286C" w:rsidRDefault="00D8286C" w:rsidP="00DF2FE1">
      <w:pPr>
        <w:pStyle w:val="Subtitle"/>
        <w:rPr>
          <w:color w:val="E36C0A" w:themeColor="accent6" w:themeShade="BF"/>
          <w:sz w:val="28"/>
        </w:rPr>
      </w:pPr>
    </w:p>
    <w:p w14:paraId="1AFDC4A6" w14:textId="77777777" w:rsidR="00D8286C" w:rsidRDefault="00D8286C" w:rsidP="00DF2FE1">
      <w:pPr>
        <w:pStyle w:val="Subtitle"/>
        <w:rPr>
          <w:color w:val="E36C0A" w:themeColor="accent6" w:themeShade="BF"/>
          <w:sz w:val="28"/>
        </w:rPr>
      </w:pPr>
    </w:p>
    <w:p w14:paraId="6D765207" w14:textId="74AFE554" w:rsidR="006313FA" w:rsidRPr="00B41FA4" w:rsidRDefault="006313FA" w:rsidP="00DF2FE1">
      <w:pPr>
        <w:pStyle w:val="Subtitle"/>
        <w:rPr>
          <w:color w:val="E36C0A" w:themeColor="accent6" w:themeShade="BF"/>
          <w:sz w:val="28"/>
        </w:rPr>
      </w:pPr>
      <w:r w:rsidRPr="00B41FA4">
        <w:rPr>
          <w:color w:val="E36C0A" w:themeColor="accent6" w:themeShade="BF"/>
          <w:sz w:val="28"/>
        </w:rPr>
        <w:t>FAQ’s</w:t>
      </w:r>
    </w:p>
    <w:p w14:paraId="6F35D6D1" w14:textId="77777777" w:rsidR="006313FA" w:rsidRPr="00B41FA4" w:rsidRDefault="006313FA" w:rsidP="00DF2FE1">
      <w:pPr>
        <w:rPr>
          <w:rFonts w:asciiTheme="majorHAnsi" w:hAnsiTheme="majorHAnsi" w:cs="Calibri"/>
          <w:sz w:val="22"/>
          <w:szCs w:val="22"/>
        </w:rPr>
      </w:pPr>
      <w:r w:rsidRPr="00B41FA4">
        <w:rPr>
          <w:rFonts w:asciiTheme="majorHAnsi" w:hAnsiTheme="majorHAnsi" w:cs="Calibri"/>
          <w:b/>
          <w:sz w:val="22"/>
          <w:szCs w:val="22"/>
          <w:u w:val="single"/>
        </w:rPr>
        <w:t>Q</w:t>
      </w:r>
      <w:r w:rsidRPr="00B41FA4">
        <w:rPr>
          <w:rFonts w:asciiTheme="majorHAnsi" w:hAnsiTheme="majorHAnsi" w:cs="Calibri"/>
          <w:sz w:val="22"/>
          <w:szCs w:val="22"/>
        </w:rPr>
        <w:t xml:space="preserve">: </w:t>
      </w:r>
      <w:r w:rsidRPr="00B41FA4">
        <w:rPr>
          <w:rFonts w:asciiTheme="majorHAnsi" w:hAnsiTheme="majorHAnsi" w:cs="Calibri"/>
          <w:b/>
          <w:sz w:val="22"/>
          <w:szCs w:val="22"/>
        </w:rPr>
        <w:t>Should I include carry forward in any of my fund types?</w:t>
      </w:r>
    </w:p>
    <w:p w14:paraId="7F7F0EED" w14:textId="77777777" w:rsidR="006313FA" w:rsidRPr="00B41FA4" w:rsidRDefault="006313FA" w:rsidP="006313FA">
      <w:pPr>
        <w:rPr>
          <w:rFonts w:asciiTheme="majorHAnsi" w:hAnsiTheme="majorHAnsi" w:cs="Calibri"/>
          <w:sz w:val="22"/>
          <w:szCs w:val="22"/>
        </w:rPr>
      </w:pPr>
      <w:r w:rsidRPr="00B41FA4">
        <w:rPr>
          <w:rFonts w:asciiTheme="majorHAnsi" w:hAnsiTheme="majorHAnsi" w:cs="Calibri"/>
          <w:b/>
          <w:sz w:val="22"/>
          <w:szCs w:val="22"/>
          <w:u w:val="single"/>
        </w:rPr>
        <w:t>A</w:t>
      </w:r>
      <w:r w:rsidRPr="00B41FA4">
        <w:rPr>
          <w:rFonts w:asciiTheme="majorHAnsi" w:hAnsiTheme="majorHAnsi" w:cs="Calibri"/>
          <w:sz w:val="22"/>
          <w:szCs w:val="22"/>
        </w:rPr>
        <w:t xml:space="preserve">: No, please do not include carry forward in any of your fund types EXCEPT for your Overhead funds. </w:t>
      </w:r>
    </w:p>
    <w:p w14:paraId="486C95CE" w14:textId="77777777" w:rsidR="006313FA" w:rsidRPr="00B41FA4" w:rsidRDefault="006313FA" w:rsidP="006313FA">
      <w:pPr>
        <w:rPr>
          <w:rFonts w:asciiTheme="majorHAnsi" w:hAnsiTheme="majorHAnsi" w:cs="Calibri"/>
          <w:szCs w:val="22"/>
        </w:rPr>
      </w:pPr>
    </w:p>
    <w:p w14:paraId="08BBD57C" w14:textId="537D6D3A" w:rsidR="006313FA" w:rsidRPr="00B41FA4" w:rsidRDefault="006313FA" w:rsidP="006313FA">
      <w:pPr>
        <w:rPr>
          <w:rFonts w:asciiTheme="majorHAnsi" w:hAnsiTheme="majorHAnsi" w:cs="Calibri"/>
          <w:sz w:val="22"/>
          <w:szCs w:val="22"/>
        </w:rPr>
      </w:pPr>
      <w:r w:rsidRPr="00B41FA4">
        <w:rPr>
          <w:rFonts w:asciiTheme="majorHAnsi" w:hAnsiTheme="majorHAnsi" w:cs="Calibri"/>
          <w:b/>
          <w:sz w:val="22"/>
          <w:szCs w:val="22"/>
          <w:u w:val="single"/>
        </w:rPr>
        <w:t>Q</w:t>
      </w:r>
      <w:r w:rsidRPr="00B41FA4">
        <w:rPr>
          <w:rFonts w:asciiTheme="majorHAnsi" w:hAnsiTheme="majorHAnsi" w:cs="Calibri"/>
          <w:b/>
          <w:sz w:val="22"/>
          <w:szCs w:val="22"/>
        </w:rPr>
        <w:t>: Is CHMED data included in the FY</w:t>
      </w:r>
      <w:r w:rsidR="00BD0D72" w:rsidRPr="00B41FA4">
        <w:rPr>
          <w:rFonts w:asciiTheme="majorHAnsi" w:hAnsiTheme="majorHAnsi" w:cs="Calibri"/>
          <w:b/>
          <w:sz w:val="22"/>
          <w:szCs w:val="22"/>
        </w:rPr>
        <w:t>21</w:t>
      </w:r>
      <w:r w:rsidRPr="00B41FA4">
        <w:rPr>
          <w:rFonts w:asciiTheme="majorHAnsi" w:hAnsiTheme="majorHAnsi" w:cs="Calibri"/>
          <w:b/>
          <w:sz w:val="22"/>
          <w:szCs w:val="22"/>
        </w:rPr>
        <w:t xml:space="preserve"> SOM budget process?</w:t>
      </w:r>
    </w:p>
    <w:p w14:paraId="28F99AC3" w14:textId="54BCCA7E" w:rsidR="006313FA" w:rsidRPr="00B41FA4" w:rsidRDefault="006313FA" w:rsidP="006313FA">
      <w:pPr>
        <w:rPr>
          <w:rFonts w:asciiTheme="majorHAnsi" w:hAnsiTheme="majorHAnsi" w:cs="Calibri"/>
          <w:sz w:val="22"/>
          <w:szCs w:val="22"/>
        </w:rPr>
      </w:pPr>
      <w:r w:rsidRPr="00B41FA4">
        <w:rPr>
          <w:rFonts w:asciiTheme="majorHAnsi" w:hAnsiTheme="majorHAnsi" w:cs="Calibri"/>
          <w:b/>
          <w:sz w:val="22"/>
          <w:szCs w:val="22"/>
          <w:u w:val="single"/>
        </w:rPr>
        <w:t>A</w:t>
      </w:r>
      <w:r w:rsidRPr="00B41FA4">
        <w:rPr>
          <w:rFonts w:asciiTheme="majorHAnsi" w:hAnsiTheme="majorHAnsi" w:cs="Calibri"/>
          <w:sz w:val="22"/>
          <w:szCs w:val="22"/>
        </w:rPr>
        <w:t>: No, we have not included any CHMED data in our historic data, and we are not requesting that you include it in your FY</w:t>
      </w:r>
      <w:r w:rsidR="00BD0D72" w:rsidRPr="00B41FA4">
        <w:rPr>
          <w:rFonts w:asciiTheme="majorHAnsi" w:hAnsiTheme="majorHAnsi" w:cs="Calibri"/>
          <w:sz w:val="22"/>
          <w:szCs w:val="22"/>
        </w:rPr>
        <w:t>20</w:t>
      </w:r>
      <w:r w:rsidR="00173682" w:rsidRPr="00B41FA4">
        <w:rPr>
          <w:rFonts w:asciiTheme="majorHAnsi" w:hAnsiTheme="majorHAnsi" w:cs="Calibri"/>
          <w:sz w:val="22"/>
          <w:szCs w:val="22"/>
        </w:rPr>
        <w:t xml:space="preserve"> projections or your FY2</w:t>
      </w:r>
      <w:r w:rsidR="00BD0D72" w:rsidRPr="00B41FA4">
        <w:rPr>
          <w:rFonts w:asciiTheme="majorHAnsi" w:hAnsiTheme="majorHAnsi" w:cs="Calibri"/>
          <w:sz w:val="22"/>
          <w:szCs w:val="22"/>
        </w:rPr>
        <w:t>1</w:t>
      </w:r>
      <w:bookmarkStart w:id="0" w:name="_GoBack"/>
      <w:bookmarkEnd w:id="0"/>
      <w:r w:rsidRPr="00B41FA4">
        <w:rPr>
          <w:rFonts w:asciiTheme="majorHAnsi" w:hAnsiTheme="majorHAnsi" w:cs="Calibri"/>
          <w:sz w:val="22"/>
          <w:szCs w:val="22"/>
        </w:rPr>
        <w:t xml:space="preserve"> budget.  However, if you have a source where funds were transferred from the CHMED business unit to the UNCCH business unit this information will be included in the historic data, and you will need to budget for this in FY</w:t>
      </w:r>
      <w:r w:rsidR="00BD0D72" w:rsidRPr="00B41FA4">
        <w:rPr>
          <w:rFonts w:asciiTheme="majorHAnsi" w:hAnsiTheme="majorHAnsi" w:cs="Calibri"/>
          <w:sz w:val="22"/>
          <w:szCs w:val="22"/>
        </w:rPr>
        <w:t>20</w:t>
      </w:r>
      <w:r w:rsidR="00173682" w:rsidRPr="00B41FA4">
        <w:rPr>
          <w:rFonts w:asciiTheme="majorHAnsi" w:hAnsiTheme="majorHAnsi" w:cs="Calibri"/>
          <w:sz w:val="22"/>
          <w:szCs w:val="22"/>
        </w:rPr>
        <w:t xml:space="preserve"> projections and FY2</w:t>
      </w:r>
      <w:r w:rsidR="00BD0D72" w:rsidRPr="00B41FA4">
        <w:rPr>
          <w:rFonts w:asciiTheme="majorHAnsi" w:hAnsiTheme="majorHAnsi" w:cs="Calibri"/>
          <w:sz w:val="22"/>
          <w:szCs w:val="22"/>
        </w:rPr>
        <w:t>1</w:t>
      </w:r>
      <w:r w:rsidR="00173682" w:rsidRPr="00B41FA4">
        <w:rPr>
          <w:rFonts w:asciiTheme="majorHAnsi" w:hAnsiTheme="majorHAnsi" w:cs="Calibri"/>
          <w:sz w:val="22"/>
          <w:szCs w:val="22"/>
        </w:rPr>
        <w:t xml:space="preserve"> budget</w:t>
      </w:r>
      <w:r w:rsidRPr="00B41FA4">
        <w:rPr>
          <w:rFonts w:asciiTheme="majorHAnsi" w:hAnsiTheme="majorHAnsi" w:cs="Calibri"/>
          <w:sz w:val="22"/>
          <w:szCs w:val="22"/>
        </w:rPr>
        <w:t xml:space="preserve"> (if applicable).</w:t>
      </w:r>
    </w:p>
    <w:p w14:paraId="0AB304D5" w14:textId="3C012BA6" w:rsidR="006313FA" w:rsidRDefault="006313FA" w:rsidP="006313FA">
      <w:pPr>
        <w:rPr>
          <w:rFonts w:asciiTheme="majorHAnsi" w:hAnsiTheme="majorHAnsi" w:cs="Calibri"/>
          <w:szCs w:val="22"/>
        </w:rPr>
      </w:pPr>
    </w:p>
    <w:p w14:paraId="13F4540D" w14:textId="77777777" w:rsidR="002E1241" w:rsidRPr="00B41FA4" w:rsidRDefault="002E1241" w:rsidP="006313FA">
      <w:pPr>
        <w:rPr>
          <w:rFonts w:asciiTheme="majorHAnsi" w:hAnsiTheme="majorHAnsi" w:cs="Calibri"/>
          <w:szCs w:val="22"/>
        </w:rPr>
      </w:pPr>
    </w:p>
    <w:sectPr w:rsidR="002E1241" w:rsidRPr="00B41FA4" w:rsidSect="005C6217">
      <w:footerReference w:type="default" r:id="rId14"/>
      <w:headerReference w:type="first" r:id="rId15"/>
      <w:type w:val="continuous"/>
      <w:pgSz w:w="12240" w:h="15840"/>
      <w:pgMar w:top="720" w:right="720" w:bottom="720" w:left="72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9E4" w14:textId="77777777" w:rsidR="00EC4A43" w:rsidRDefault="00EC4A43">
      <w:r>
        <w:separator/>
      </w:r>
    </w:p>
  </w:endnote>
  <w:endnote w:type="continuationSeparator" w:id="0">
    <w:p w14:paraId="1FC8E8D8" w14:textId="77777777" w:rsidR="00EC4A43" w:rsidRDefault="00E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40408"/>
      <w:docPartObj>
        <w:docPartGallery w:val="Page Numbers (Bottom of Page)"/>
        <w:docPartUnique/>
      </w:docPartObj>
    </w:sdtPr>
    <w:sdtEndPr>
      <w:rPr>
        <w:noProof/>
      </w:rPr>
    </w:sdtEndPr>
    <w:sdtContent>
      <w:p w14:paraId="0E584558" w14:textId="77777777" w:rsidR="00845639" w:rsidRDefault="00845639">
        <w:pPr>
          <w:pStyle w:val="Footer"/>
          <w:jc w:val="right"/>
        </w:pPr>
        <w:r>
          <w:fldChar w:fldCharType="begin"/>
        </w:r>
        <w:r>
          <w:instrText xml:space="preserve"> PAGE   \* MERGEFORMAT </w:instrText>
        </w:r>
        <w:r>
          <w:fldChar w:fldCharType="separate"/>
        </w:r>
        <w:r w:rsidR="00FA19C3">
          <w:rPr>
            <w:noProof/>
          </w:rPr>
          <w:t>6</w:t>
        </w:r>
        <w:r>
          <w:rPr>
            <w:noProof/>
          </w:rPr>
          <w:fldChar w:fldCharType="end"/>
        </w:r>
      </w:p>
    </w:sdtContent>
  </w:sdt>
  <w:p w14:paraId="6B68F68A" w14:textId="77777777" w:rsidR="00EC4A43" w:rsidRPr="003D09C1" w:rsidRDefault="00EC4A43" w:rsidP="00D717B3">
    <w:pPr>
      <w:pStyle w:val="Footer"/>
      <w:ind w:left="1440"/>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847A" w14:textId="77777777" w:rsidR="00EC4A43" w:rsidRDefault="00EC4A43">
      <w:r>
        <w:separator/>
      </w:r>
    </w:p>
  </w:footnote>
  <w:footnote w:type="continuationSeparator" w:id="0">
    <w:p w14:paraId="4971F3BD" w14:textId="77777777" w:rsidR="00EC4A43" w:rsidRDefault="00E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3978" w14:textId="510F97A9" w:rsidR="00EC4A43" w:rsidRDefault="00AF32B2">
    <w:pPr>
      <w:pStyle w:val="Header"/>
    </w:pPr>
    <w:r>
      <w:rPr>
        <w:noProof/>
      </w:rPr>
      <w:drawing>
        <wp:anchor distT="0" distB="0" distL="114300" distR="114300" simplePos="0" relativeHeight="251658240" behindDoc="0" locked="0" layoutInCell="1" allowOverlap="1" wp14:anchorId="4E7ED86B" wp14:editId="35952D3A">
          <wp:simplePos x="0" y="0"/>
          <wp:positionH relativeFrom="column">
            <wp:posOffset>-228600</wp:posOffset>
          </wp:positionH>
          <wp:positionV relativeFrom="paragraph">
            <wp:posOffset>-95250</wp:posOffset>
          </wp:positionV>
          <wp:extent cx="2461260" cy="514350"/>
          <wp:effectExtent l="0" t="0" r="0" b="0"/>
          <wp:wrapTopAndBottom/>
          <wp:docPr id="5" name="Picture 5" descr="Logo_UNC_SOM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UNC_SOM_542"/>
                  <pic:cNvPicPr>
                    <a:picLocks noChangeAspect="1" noChangeArrowheads="1"/>
                  </pic:cNvPicPr>
                </pic:nvPicPr>
                <pic:blipFill rotWithShape="1">
                  <a:blip r:embed="rId1"/>
                  <a:srcRect t="16742" b="22990"/>
                  <a:stretch/>
                </pic:blipFill>
                <pic:spPr bwMode="auto">
                  <a:xfrm>
                    <a:off x="0" y="0"/>
                    <a:ext cx="2461260" cy="514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B3B6A">
      <w:rPr>
        <w:noProof/>
      </w:rPr>
      <mc:AlternateContent>
        <mc:Choice Requires="wps">
          <w:drawing>
            <wp:anchor distT="0" distB="0" distL="114300" distR="114300" simplePos="0" relativeHeight="251657216" behindDoc="0" locked="0" layoutInCell="1" allowOverlap="1" wp14:anchorId="6A4DEC54" wp14:editId="5E3A0A2E">
              <wp:simplePos x="0" y="0"/>
              <wp:positionH relativeFrom="column">
                <wp:posOffset>3019425</wp:posOffset>
              </wp:positionH>
              <wp:positionV relativeFrom="paragraph">
                <wp:posOffset>-133350</wp:posOffset>
              </wp:positionV>
              <wp:extent cx="3857625" cy="66294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F4B5D" w14:textId="7FE499BA" w:rsidR="00EC4A43" w:rsidRPr="009C1B42" w:rsidRDefault="00454ED2" w:rsidP="00AF32B2">
                          <w:pPr>
                            <w:jc w:val="right"/>
                            <w:rPr>
                              <w:rFonts w:asciiTheme="majorHAnsi" w:hAnsiTheme="majorHAnsi" w:cs="Calibri"/>
                              <w:b/>
                              <w:color w:val="4F81BD" w:themeColor="accent1"/>
                              <w:sz w:val="36"/>
                              <w:szCs w:val="36"/>
                            </w:rPr>
                          </w:pPr>
                          <w:r w:rsidRPr="00CF18C3">
                            <w:rPr>
                              <w:rFonts w:asciiTheme="majorHAnsi" w:hAnsiTheme="majorHAnsi" w:cs="Calibri"/>
                              <w:b/>
                              <w:sz w:val="26"/>
                              <w:szCs w:val="26"/>
                            </w:rPr>
                            <w:t>F</w:t>
                          </w:r>
                          <w:r w:rsidR="00983F87">
                            <w:rPr>
                              <w:rFonts w:asciiTheme="majorHAnsi" w:hAnsiTheme="majorHAnsi" w:cs="Calibri"/>
                              <w:b/>
                              <w:sz w:val="26"/>
                              <w:szCs w:val="26"/>
                            </w:rPr>
                            <w:t xml:space="preserve">iscal </w:t>
                          </w:r>
                          <w:r w:rsidRPr="00CF18C3">
                            <w:rPr>
                              <w:rFonts w:asciiTheme="majorHAnsi" w:hAnsiTheme="majorHAnsi" w:cs="Calibri"/>
                              <w:b/>
                              <w:sz w:val="26"/>
                              <w:szCs w:val="26"/>
                            </w:rPr>
                            <w:t>Y</w:t>
                          </w:r>
                          <w:r w:rsidR="00983F87">
                            <w:rPr>
                              <w:rFonts w:asciiTheme="majorHAnsi" w:hAnsiTheme="majorHAnsi" w:cs="Calibri"/>
                              <w:b/>
                              <w:sz w:val="26"/>
                              <w:szCs w:val="26"/>
                            </w:rPr>
                            <w:t>ear</w:t>
                          </w:r>
                          <w:r w:rsidRPr="00CF18C3">
                            <w:rPr>
                              <w:rFonts w:asciiTheme="majorHAnsi" w:hAnsiTheme="majorHAnsi" w:cs="Calibri"/>
                              <w:b/>
                              <w:sz w:val="26"/>
                              <w:szCs w:val="26"/>
                            </w:rPr>
                            <w:t xml:space="preserve"> 20</w:t>
                          </w:r>
                          <w:r w:rsidR="00AC0C5D">
                            <w:rPr>
                              <w:rFonts w:asciiTheme="majorHAnsi" w:hAnsiTheme="majorHAnsi" w:cs="Calibri"/>
                              <w:b/>
                              <w:sz w:val="26"/>
                              <w:szCs w:val="26"/>
                            </w:rPr>
                            <w:t>2</w:t>
                          </w:r>
                          <w:r w:rsidR="001F24C2">
                            <w:rPr>
                              <w:rFonts w:asciiTheme="majorHAnsi" w:hAnsiTheme="majorHAnsi" w:cs="Calibri"/>
                              <w:b/>
                              <w:sz w:val="26"/>
                              <w:szCs w:val="26"/>
                            </w:rPr>
                            <w:t>1</w:t>
                          </w:r>
                          <w:r w:rsidR="00AF32B2">
                            <w:rPr>
                              <w:rFonts w:asciiTheme="majorHAnsi" w:hAnsiTheme="majorHAnsi" w:cs="Calibri"/>
                              <w:b/>
                              <w:sz w:val="26"/>
                              <w:szCs w:val="26"/>
                            </w:rPr>
                            <w:t xml:space="preserve"> Budget Process</w:t>
                          </w:r>
                          <w:r w:rsidR="00EC4A43" w:rsidRPr="00CF18C3">
                            <w:rPr>
                              <w:rFonts w:asciiTheme="majorHAnsi" w:hAnsiTheme="majorHAnsi" w:cs="Calibri"/>
                              <w:b/>
                              <w:sz w:val="26"/>
                              <w:szCs w:val="26"/>
                            </w:rPr>
                            <w:br/>
                          </w:r>
                          <w:r w:rsidR="00AF32B2" w:rsidRPr="009C1B42">
                            <w:rPr>
                              <w:rFonts w:asciiTheme="majorHAnsi" w:hAnsiTheme="majorHAnsi" w:cs="Calibri"/>
                              <w:b/>
                              <w:color w:val="4F81BD" w:themeColor="accent1"/>
                              <w:sz w:val="36"/>
                              <w:szCs w:val="36"/>
                            </w:rPr>
                            <w:t>Report to Review SOM Funds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DEC54" id="_x0000_t202" coordsize="21600,21600" o:spt="202" path="m,l,21600r21600,l21600,xe">
              <v:stroke joinstyle="miter"/>
              <v:path gradientshapeok="t" o:connecttype="rect"/>
            </v:shapetype>
            <v:shape id="Text Box 2" o:spid="_x0000_s1026" type="#_x0000_t202" style="position:absolute;margin-left:237.75pt;margin-top:-10.5pt;width:303.7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" stroked="f">
              <v:textbox>
                <w:txbxContent>
                  <w:p w14:paraId="26BF4B5D" w14:textId="7FE499BA" w:rsidR="00EC4A43" w:rsidRPr="009C1B42" w:rsidRDefault="00454ED2" w:rsidP="00AF32B2">
                    <w:pPr>
                      <w:jc w:val="right"/>
                      <w:rPr>
                        <w:rFonts w:asciiTheme="majorHAnsi" w:hAnsiTheme="majorHAnsi" w:cs="Calibri"/>
                        <w:b/>
                        <w:color w:val="4F81BD" w:themeColor="accent1"/>
                        <w:sz w:val="36"/>
                        <w:szCs w:val="36"/>
                      </w:rPr>
                    </w:pPr>
                    <w:r w:rsidRPr="00CF18C3">
                      <w:rPr>
                        <w:rFonts w:asciiTheme="majorHAnsi" w:hAnsiTheme="majorHAnsi" w:cs="Calibri"/>
                        <w:b/>
                        <w:sz w:val="26"/>
                        <w:szCs w:val="26"/>
                      </w:rPr>
                      <w:t>F</w:t>
                    </w:r>
                    <w:r w:rsidR="00983F87">
                      <w:rPr>
                        <w:rFonts w:asciiTheme="majorHAnsi" w:hAnsiTheme="majorHAnsi" w:cs="Calibri"/>
                        <w:b/>
                        <w:sz w:val="26"/>
                        <w:szCs w:val="26"/>
                      </w:rPr>
                      <w:t xml:space="preserve">iscal </w:t>
                    </w:r>
                    <w:r w:rsidRPr="00CF18C3">
                      <w:rPr>
                        <w:rFonts w:asciiTheme="majorHAnsi" w:hAnsiTheme="majorHAnsi" w:cs="Calibri"/>
                        <w:b/>
                        <w:sz w:val="26"/>
                        <w:szCs w:val="26"/>
                      </w:rPr>
                      <w:t>Y</w:t>
                    </w:r>
                    <w:r w:rsidR="00983F87">
                      <w:rPr>
                        <w:rFonts w:asciiTheme="majorHAnsi" w:hAnsiTheme="majorHAnsi" w:cs="Calibri"/>
                        <w:b/>
                        <w:sz w:val="26"/>
                        <w:szCs w:val="26"/>
                      </w:rPr>
                      <w:t>ear</w:t>
                    </w:r>
                    <w:r w:rsidRPr="00CF18C3">
                      <w:rPr>
                        <w:rFonts w:asciiTheme="majorHAnsi" w:hAnsiTheme="majorHAnsi" w:cs="Calibri"/>
                        <w:b/>
                        <w:sz w:val="26"/>
                        <w:szCs w:val="26"/>
                      </w:rPr>
                      <w:t xml:space="preserve"> 20</w:t>
                    </w:r>
                    <w:r w:rsidR="00AC0C5D">
                      <w:rPr>
                        <w:rFonts w:asciiTheme="majorHAnsi" w:hAnsiTheme="majorHAnsi" w:cs="Calibri"/>
                        <w:b/>
                        <w:sz w:val="26"/>
                        <w:szCs w:val="26"/>
                      </w:rPr>
                      <w:t>2</w:t>
                    </w:r>
                    <w:r w:rsidR="001F24C2">
                      <w:rPr>
                        <w:rFonts w:asciiTheme="majorHAnsi" w:hAnsiTheme="majorHAnsi" w:cs="Calibri"/>
                        <w:b/>
                        <w:sz w:val="26"/>
                        <w:szCs w:val="26"/>
                      </w:rPr>
                      <w:t>1</w:t>
                    </w:r>
                    <w:r w:rsidR="00AF32B2">
                      <w:rPr>
                        <w:rFonts w:asciiTheme="majorHAnsi" w:hAnsiTheme="majorHAnsi" w:cs="Calibri"/>
                        <w:b/>
                        <w:sz w:val="26"/>
                        <w:szCs w:val="26"/>
                      </w:rPr>
                      <w:t xml:space="preserve"> Budget Process</w:t>
                    </w:r>
                    <w:r w:rsidR="00EC4A43" w:rsidRPr="00CF18C3">
                      <w:rPr>
                        <w:rFonts w:asciiTheme="majorHAnsi" w:hAnsiTheme="majorHAnsi" w:cs="Calibri"/>
                        <w:b/>
                        <w:sz w:val="26"/>
                        <w:szCs w:val="26"/>
                      </w:rPr>
                      <w:br/>
                    </w:r>
                    <w:r w:rsidR="00AF32B2" w:rsidRPr="009C1B42">
                      <w:rPr>
                        <w:rFonts w:asciiTheme="majorHAnsi" w:hAnsiTheme="majorHAnsi" w:cs="Calibri"/>
                        <w:b/>
                        <w:color w:val="4F81BD" w:themeColor="accent1"/>
                        <w:sz w:val="36"/>
                        <w:szCs w:val="36"/>
                      </w:rPr>
                      <w:t>Report to Review SOM Funds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743C"/>
    <w:multiLevelType w:val="hybridMultilevel"/>
    <w:tmpl w:val="A796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B29"/>
    <w:multiLevelType w:val="hybridMultilevel"/>
    <w:tmpl w:val="2AC88E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3E5328"/>
    <w:multiLevelType w:val="hybridMultilevel"/>
    <w:tmpl w:val="C54C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12566"/>
    <w:multiLevelType w:val="hybridMultilevel"/>
    <w:tmpl w:val="6DD2A7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10207"/>
    <w:multiLevelType w:val="hybridMultilevel"/>
    <w:tmpl w:val="CEA4DE96"/>
    <w:lvl w:ilvl="0" w:tplc="04090001">
      <w:start w:val="1"/>
      <w:numFmt w:val="bullet"/>
      <w:lvlText w:val=""/>
      <w:lvlJc w:val="left"/>
      <w:pPr>
        <w:tabs>
          <w:tab w:val="num" w:pos="720"/>
        </w:tabs>
        <w:ind w:left="720" w:hanging="360"/>
      </w:pPr>
      <w:rPr>
        <w:rFonts w:ascii="Symbol" w:hAnsi="Symbol" w:hint="default"/>
        <w:b/>
        <w:color w:val="auto"/>
      </w:rPr>
    </w:lvl>
    <w:lvl w:ilvl="1" w:tplc="04090001">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F668C8"/>
    <w:multiLevelType w:val="hybridMultilevel"/>
    <w:tmpl w:val="226E20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CE74EB"/>
    <w:multiLevelType w:val="hybridMultilevel"/>
    <w:tmpl w:val="2AC88E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F65134"/>
    <w:multiLevelType w:val="hybridMultilevel"/>
    <w:tmpl w:val="D7F461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61392"/>
    <w:multiLevelType w:val="hybridMultilevel"/>
    <w:tmpl w:val="1A6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507E7"/>
    <w:multiLevelType w:val="hybridMultilevel"/>
    <w:tmpl w:val="A1C0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97EEB"/>
    <w:multiLevelType w:val="hybridMultilevel"/>
    <w:tmpl w:val="79FC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6761F"/>
    <w:multiLevelType w:val="hybridMultilevel"/>
    <w:tmpl w:val="844CE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0DF08B9"/>
    <w:multiLevelType w:val="hybridMultilevel"/>
    <w:tmpl w:val="757C916C"/>
    <w:lvl w:ilvl="0" w:tplc="59AA29E6">
      <w:start w:val="1"/>
      <w:numFmt w:val="decimal"/>
      <w:lvlText w:val="%1."/>
      <w:lvlJc w:val="left"/>
      <w:pPr>
        <w:ind w:left="360" w:hanging="360"/>
      </w:pPr>
      <w:rPr>
        <w:rFonts w:asciiTheme="majorHAnsi" w:hAnsiTheme="majorHAnsi" w:hint="default"/>
        <w:b/>
        <w:bCs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E1F67"/>
    <w:multiLevelType w:val="hybridMultilevel"/>
    <w:tmpl w:val="E2183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42DD2"/>
    <w:multiLevelType w:val="hybridMultilevel"/>
    <w:tmpl w:val="5262CFE0"/>
    <w:lvl w:ilvl="0" w:tplc="80DC0966">
      <w:start w:val="1"/>
      <w:numFmt w:val="bullet"/>
      <w:lvlText w:val=""/>
      <w:lvlJc w:val="left"/>
      <w:pPr>
        <w:tabs>
          <w:tab w:val="num" w:pos="360"/>
        </w:tabs>
        <w:ind w:left="360" w:hanging="360"/>
      </w:pPr>
      <w:rPr>
        <w:rFonts w:ascii="Symbol" w:hAnsi="Symbol" w:hint="default"/>
        <w:sz w:val="22"/>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660B5F"/>
    <w:multiLevelType w:val="hybridMultilevel"/>
    <w:tmpl w:val="7D42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3"/>
  </w:num>
  <w:num w:numId="5">
    <w:abstractNumId w:val="6"/>
  </w:num>
  <w:num w:numId="6">
    <w:abstractNumId w:val="7"/>
  </w:num>
  <w:num w:numId="7">
    <w:abstractNumId w:val="5"/>
  </w:num>
  <w:num w:numId="8">
    <w:abstractNumId w:val="2"/>
  </w:num>
  <w:num w:numId="9">
    <w:abstractNumId w:val="14"/>
  </w:num>
  <w:num w:numId="10">
    <w:abstractNumId w:val="3"/>
  </w:num>
  <w:num w:numId="11">
    <w:abstractNumId w:val="11"/>
  </w:num>
  <w:num w:numId="12">
    <w:abstractNumId w:val="12"/>
  </w:num>
  <w:num w:numId="13">
    <w:abstractNumId w:val="9"/>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D3"/>
    <w:rsid w:val="00000D8D"/>
    <w:rsid w:val="00017B42"/>
    <w:rsid w:val="00017D4C"/>
    <w:rsid w:val="00024179"/>
    <w:rsid w:val="0005008B"/>
    <w:rsid w:val="000504BA"/>
    <w:rsid w:val="00053B3D"/>
    <w:rsid w:val="00056A10"/>
    <w:rsid w:val="00065CE5"/>
    <w:rsid w:val="00066CAB"/>
    <w:rsid w:val="000723E8"/>
    <w:rsid w:val="000816BD"/>
    <w:rsid w:val="00083744"/>
    <w:rsid w:val="000957C2"/>
    <w:rsid w:val="000A3A3E"/>
    <w:rsid w:val="000B336C"/>
    <w:rsid w:val="000B7765"/>
    <w:rsid w:val="000D0233"/>
    <w:rsid w:val="000D0AD3"/>
    <w:rsid w:val="000F5113"/>
    <w:rsid w:val="00107EB8"/>
    <w:rsid w:val="00156C61"/>
    <w:rsid w:val="0016465C"/>
    <w:rsid w:val="00173682"/>
    <w:rsid w:val="00174940"/>
    <w:rsid w:val="00181093"/>
    <w:rsid w:val="001A66B1"/>
    <w:rsid w:val="001C2227"/>
    <w:rsid w:val="001C3C70"/>
    <w:rsid w:val="001C6FB8"/>
    <w:rsid w:val="001D3903"/>
    <w:rsid w:val="001E258D"/>
    <w:rsid w:val="001E63F3"/>
    <w:rsid w:val="001E7212"/>
    <w:rsid w:val="001F24C2"/>
    <w:rsid w:val="001F3818"/>
    <w:rsid w:val="001F5BD6"/>
    <w:rsid w:val="00243317"/>
    <w:rsid w:val="00256980"/>
    <w:rsid w:val="00263C39"/>
    <w:rsid w:val="002642CD"/>
    <w:rsid w:val="002647F7"/>
    <w:rsid w:val="00270E05"/>
    <w:rsid w:val="00273662"/>
    <w:rsid w:val="002759EA"/>
    <w:rsid w:val="00281D1E"/>
    <w:rsid w:val="002944B0"/>
    <w:rsid w:val="00295472"/>
    <w:rsid w:val="002B4973"/>
    <w:rsid w:val="002C1E7B"/>
    <w:rsid w:val="002C744F"/>
    <w:rsid w:val="002E1241"/>
    <w:rsid w:val="002F5205"/>
    <w:rsid w:val="002F745C"/>
    <w:rsid w:val="00303357"/>
    <w:rsid w:val="00317E17"/>
    <w:rsid w:val="003234A0"/>
    <w:rsid w:val="003250C9"/>
    <w:rsid w:val="00333AB3"/>
    <w:rsid w:val="00354303"/>
    <w:rsid w:val="0037473A"/>
    <w:rsid w:val="00374C46"/>
    <w:rsid w:val="003951A8"/>
    <w:rsid w:val="003B21B1"/>
    <w:rsid w:val="003C1492"/>
    <w:rsid w:val="003D09C1"/>
    <w:rsid w:val="003F0297"/>
    <w:rsid w:val="003F0D42"/>
    <w:rsid w:val="003F27A8"/>
    <w:rsid w:val="003F7FFB"/>
    <w:rsid w:val="00423C88"/>
    <w:rsid w:val="00424EFA"/>
    <w:rsid w:val="00441EA4"/>
    <w:rsid w:val="00441EE6"/>
    <w:rsid w:val="00446711"/>
    <w:rsid w:val="00454ED2"/>
    <w:rsid w:val="004612E5"/>
    <w:rsid w:val="00473C79"/>
    <w:rsid w:val="00477C2E"/>
    <w:rsid w:val="00485060"/>
    <w:rsid w:val="00491CEB"/>
    <w:rsid w:val="00493E0E"/>
    <w:rsid w:val="004F0408"/>
    <w:rsid w:val="00521446"/>
    <w:rsid w:val="00527A35"/>
    <w:rsid w:val="0056495B"/>
    <w:rsid w:val="00566769"/>
    <w:rsid w:val="0057753A"/>
    <w:rsid w:val="00580FB9"/>
    <w:rsid w:val="005967BD"/>
    <w:rsid w:val="005A2A18"/>
    <w:rsid w:val="005B2585"/>
    <w:rsid w:val="005C6217"/>
    <w:rsid w:val="005D4549"/>
    <w:rsid w:val="005E464C"/>
    <w:rsid w:val="006176B7"/>
    <w:rsid w:val="0062614A"/>
    <w:rsid w:val="006313FA"/>
    <w:rsid w:val="00653CA2"/>
    <w:rsid w:val="00663382"/>
    <w:rsid w:val="00693E76"/>
    <w:rsid w:val="006A11B8"/>
    <w:rsid w:val="006B3688"/>
    <w:rsid w:val="006B3CB1"/>
    <w:rsid w:val="006B42E7"/>
    <w:rsid w:val="006C5B64"/>
    <w:rsid w:val="006D6859"/>
    <w:rsid w:val="006E106D"/>
    <w:rsid w:val="006F3746"/>
    <w:rsid w:val="00703D90"/>
    <w:rsid w:val="0072605F"/>
    <w:rsid w:val="007451A1"/>
    <w:rsid w:val="00755634"/>
    <w:rsid w:val="00767BB3"/>
    <w:rsid w:val="00796BA0"/>
    <w:rsid w:val="007A06CA"/>
    <w:rsid w:val="007A28AC"/>
    <w:rsid w:val="007C1F00"/>
    <w:rsid w:val="007D2A5F"/>
    <w:rsid w:val="007D4512"/>
    <w:rsid w:val="007D5B45"/>
    <w:rsid w:val="007E0BD9"/>
    <w:rsid w:val="00812E75"/>
    <w:rsid w:val="0082365D"/>
    <w:rsid w:val="008450D0"/>
    <w:rsid w:val="00845639"/>
    <w:rsid w:val="008601DD"/>
    <w:rsid w:val="008614C1"/>
    <w:rsid w:val="008822F2"/>
    <w:rsid w:val="00884A0A"/>
    <w:rsid w:val="00891AA5"/>
    <w:rsid w:val="008965C8"/>
    <w:rsid w:val="008A0651"/>
    <w:rsid w:val="008D2E1F"/>
    <w:rsid w:val="008E3F5B"/>
    <w:rsid w:val="0090285D"/>
    <w:rsid w:val="0090670C"/>
    <w:rsid w:val="0092538E"/>
    <w:rsid w:val="009333A9"/>
    <w:rsid w:val="009534BD"/>
    <w:rsid w:val="00962666"/>
    <w:rsid w:val="00983F87"/>
    <w:rsid w:val="00984351"/>
    <w:rsid w:val="00997C6B"/>
    <w:rsid w:val="009A7120"/>
    <w:rsid w:val="009B045E"/>
    <w:rsid w:val="009B3B6A"/>
    <w:rsid w:val="009B3D76"/>
    <w:rsid w:val="009C1B42"/>
    <w:rsid w:val="009F25B8"/>
    <w:rsid w:val="00A30238"/>
    <w:rsid w:val="00A417F0"/>
    <w:rsid w:val="00A42626"/>
    <w:rsid w:val="00A51668"/>
    <w:rsid w:val="00A55CF7"/>
    <w:rsid w:val="00A84E40"/>
    <w:rsid w:val="00A85932"/>
    <w:rsid w:val="00A86659"/>
    <w:rsid w:val="00A9515D"/>
    <w:rsid w:val="00AB6496"/>
    <w:rsid w:val="00AC0BA1"/>
    <w:rsid w:val="00AC0C5D"/>
    <w:rsid w:val="00AF32B2"/>
    <w:rsid w:val="00B202B0"/>
    <w:rsid w:val="00B21685"/>
    <w:rsid w:val="00B30CB1"/>
    <w:rsid w:val="00B36373"/>
    <w:rsid w:val="00B41FA4"/>
    <w:rsid w:val="00B5501A"/>
    <w:rsid w:val="00B73B10"/>
    <w:rsid w:val="00BA6A7E"/>
    <w:rsid w:val="00BB2768"/>
    <w:rsid w:val="00BC66E2"/>
    <w:rsid w:val="00BD0D72"/>
    <w:rsid w:val="00BD564B"/>
    <w:rsid w:val="00C21104"/>
    <w:rsid w:val="00C23535"/>
    <w:rsid w:val="00C2484B"/>
    <w:rsid w:val="00C505EC"/>
    <w:rsid w:val="00C65D88"/>
    <w:rsid w:val="00C7786A"/>
    <w:rsid w:val="00C9129F"/>
    <w:rsid w:val="00CA6C7E"/>
    <w:rsid w:val="00CC16B1"/>
    <w:rsid w:val="00CC7F4D"/>
    <w:rsid w:val="00CD7172"/>
    <w:rsid w:val="00CF18C3"/>
    <w:rsid w:val="00CF623C"/>
    <w:rsid w:val="00D07712"/>
    <w:rsid w:val="00D265D2"/>
    <w:rsid w:val="00D63790"/>
    <w:rsid w:val="00D717B3"/>
    <w:rsid w:val="00D722BB"/>
    <w:rsid w:val="00D72A4C"/>
    <w:rsid w:val="00D8284A"/>
    <w:rsid w:val="00D8286C"/>
    <w:rsid w:val="00DD27B1"/>
    <w:rsid w:val="00DD5419"/>
    <w:rsid w:val="00DE4565"/>
    <w:rsid w:val="00DE6962"/>
    <w:rsid w:val="00DF2FE1"/>
    <w:rsid w:val="00DF478C"/>
    <w:rsid w:val="00E159B4"/>
    <w:rsid w:val="00E259E4"/>
    <w:rsid w:val="00E330F1"/>
    <w:rsid w:val="00E41090"/>
    <w:rsid w:val="00E437D7"/>
    <w:rsid w:val="00E62A1D"/>
    <w:rsid w:val="00E6485A"/>
    <w:rsid w:val="00E83585"/>
    <w:rsid w:val="00EA6F31"/>
    <w:rsid w:val="00EC4A43"/>
    <w:rsid w:val="00ED3A70"/>
    <w:rsid w:val="00EE6DA4"/>
    <w:rsid w:val="00EF18B3"/>
    <w:rsid w:val="00EF6F82"/>
    <w:rsid w:val="00F0222D"/>
    <w:rsid w:val="00F07DA9"/>
    <w:rsid w:val="00F23A5A"/>
    <w:rsid w:val="00F23C39"/>
    <w:rsid w:val="00F23E23"/>
    <w:rsid w:val="00F3411D"/>
    <w:rsid w:val="00F408B5"/>
    <w:rsid w:val="00F471D7"/>
    <w:rsid w:val="00F6719E"/>
    <w:rsid w:val="00F741D8"/>
    <w:rsid w:val="00F74463"/>
    <w:rsid w:val="00F94D40"/>
    <w:rsid w:val="00FA19C3"/>
    <w:rsid w:val="00FB4347"/>
    <w:rsid w:val="00FB5238"/>
    <w:rsid w:val="00FC1041"/>
    <w:rsid w:val="00FD083B"/>
    <w:rsid w:val="00FD25E8"/>
    <w:rsid w:val="00FE7487"/>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8DF33A6"/>
  <w15:docId w15:val="{E83219A7-F472-402B-A26F-FE50300A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58D"/>
    <w:pPr>
      <w:overflowPunct w:val="0"/>
      <w:autoSpaceDE w:val="0"/>
      <w:autoSpaceDN w:val="0"/>
      <w:adjustRightInd w:val="0"/>
      <w:textAlignment w:val="baseline"/>
    </w:pPr>
  </w:style>
  <w:style w:type="paragraph" w:styleId="Heading1">
    <w:name w:val="heading 1"/>
    <w:basedOn w:val="Normal"/>
    <w:next w:val="Normal"/>
    <w:qFormat/>
    <w:rsid w:val="001E258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258D"/>
    <w:pPr>
      <w:tabs>
        <w:tab w:val="center" w:pos="4320"/>
        <w:tab w:val="right" w:pos="8640"/>
      </w:tabs>
    </w:pPr>
  </w:style>
  <w:style w:type="paragraph" w:styleId="Footer">
    <w:name w:val="footer"/>
    <w:basedOn w:val="Normal"/>
    <w:link w:val="FooterChar"/>
    <w:uiPriority w:val="99"/>
    <w:rsid w:val="001E258D"/>
    <w:pPr>
      <w:tabs>
        <w:tab w:val="center" w:pos="4320"/>
        <w:tab w:val="right" w:pos="8640"/>
      </w:tabs>
    </w:pPr>
  </w:style>
  <w:style w:type="character" w:styleId="Hyperlink">
    <w:name w:val="Hyperlink"/>
    <w:uiPriority w:val="99"/>
    <w:rsid w:val="00796BA0"/>
    <w:rPr>
      <w:color w:val="0000FF"/>
      <w:u w:val="single"/>
    </w:rPr>
  </w:style>
  <w:style w:type="paragraph" w:styleId="BalloonText">
    <w:name w:val="Balloon Text"/>
    <w:basedOn w:val="Normal"/>
    <w:semiHidden/>
    <w:rsid w:val="005A2A18"/>
    <w:rPr>
      <w:rFonts w:ascii="Tahoma" w:hAnsi="Tahoma" w:cs="Tahoma"/>
      <w:sz w:val="16"/>
      <w:szCs w:val="16"/>
    </w:rPr>
  </w:style>
  <w:style w:type="character" w:styleId="HTMLTypewriter">
    <w:name w:val="HTML Typewriter"/>
    <w:rsid w:val="003F0297"/>
    <w:rPr>
      <w:rFonts w:ascii="Courier New" w:eastAsia="Times New Roman" w:hAnsi="Courier New" w:cs="Courier New"/>
      <w:sz w:val="20"/>
      <w:szCs w:val="20"/>
    </w:rPr>
  </w:style>
  <w:style w:type="paragraph" w:styleId="ListParagraph">
    <w:name w:val="List Paragraph"/>
    <w:basedOn w:val="Normal"/>
    <w:uiPriority w:val="34"/>
    <w:qFormat/>
    <w:rsid w:val="00C21104"/>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link w:val="BodyTextIndent2Char"/>
    <w:rsid w:val="008D2E1F"/>
    <w:pPr>
      <w:overflowPunct/>
      <w:autoSpaceDE/>
      <w:autoSpaceDN/>
      <w:adjustRightInd/>
      <w:ind w:left="720"/>
      <w:jc w:val="both"/>
      <w:textAlignment w:val="auto"/>
    </w:pPr>
    <w:rPr>
      <w:sz w:val="24"/>
      <w:szCs w:val="24"/>
    </w:rPr>
  </w:style>
  <w:style w:type="character" w:customStyle="1" w:styleId="BodyTextIndent2Char">
    <w:name w:val="Body Text Indent 2 Char"/>
    <w:link w:val="BodyTextIndent2"/>
    <w:rsid w:val="008D2E1F"/>
    <w:rPr>
      <w:sz w:val="24"/>
      <w:szCs w:val="24"/>
    </w:rPr>
  </w:style>
  <w:style w:type="character" w:styleId="FollowedHyperlink">
    <w:name w:val="FollowedHyperlink"/>
    <w:basedOn w:val="DefaultParagraphFont"/>
    <w:rsid w:val="00EF18B3"/>
    <w:rPr>
      <w:color w:val="800080" w:themeColor="followedHyperlink"/>
      <w:u w:val="single"/>
    </w:rPr>
  </w:style>
  <w:style w:type="paragraph" w:styleId="Subtitle">
    <w:name w:val="Subtitle"/>
    <w:basedOn w:val="Normal"/>
    <w:next w:val="Normal"/>
    <w:link w:val="SubtitleChar"/>
    <w:qFormat/>
    <w:rsid w:val="007C1F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C1F0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107E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7EB8"/>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845639"/>
  </w:style>
  <w:style w:type="character" w:styleId="UnresolvedMention">
    <w:name w:val="Unresolved Mention"/>
    <w:basedOn w:val="DefaultParagraphFont"/>
    <w:uiPriority w:val="99"/>
    <w:semiHidden/>
    <w:unhideWhenUsed/>
    <w:rsid w:val="0088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547">
      <w:bodyDiv w:val="1"/>
      <w:marLeft w:val="0"/>
      <w:marRight w:val="0"/>
      <w:marTop w:val="0"/>
      <w:marBottom w:val="0"/>
      <w:divBdr>
        <w:top w:val="none" w:sz="0" w:space="0" w:color="auto"/>
        <w:left w:val="none" w:sz="0" w:space="0" w:color="auto"/>
        <w:bottom w:val="none" w:sz="0" w:space="0" w:color="auto"/>
        <w:right w:val="none" w:sz="0" w:space="0" w:color="auto"/>
      </w:divBdr>
    </w:div>
    <w:div w:id="308217116">
      <w:bodyDiv w:val="1"/>
      <w:marLeft w:val="0"/>
      <w:marRight w:val="0"/>
      <w:marTop w:val="0"/>
      <w:marBottom w:val="0"/>
      <w:divBdr>
        <w:top w:val="none" w:sz="0" w:space="0" w:color="auto"/>
        <w:left w:val="none" w:sz="0" w:space="0" w:color="auto"/>
        <w:bottom w:val="none" w:sz="0" w:space="0" w:color="auto"/>
        <w:right w:val="none" w:sz="0" w:space="0" w:color="auto"/>
      </w:divBdr>
    </w:div>
    <w:div w:id="375469249">
      <w:bodyDiv w:val="1"/>
      <w:marLeft w:val="0"/>
      <w:marRight w:val="0"/>
      <w:marTop w:val="0"/>
      <w:marBottom w:val="0"/>
      <w:divBdr>
        <w:top w:val="none" w:sz="0" w:space="0" w:color="auto"/>
        <w:left w:val="none" w:sz="0" w:space="0" w:color="auto"/>
        <w:bottom w:val="none" w:sz="0" w:space="0" w:color="auto"/>
        <w:right w:val="none" w:sz="0" w:space="0" w:color="auto"/>
      </w:divBdr>
    </w:div>
    <w:div w:id="1403020666">
      <w:bodyDiv w:val="1"/>
      <w:marLeft w:val="0"/>
      <w:marRight w:val="0"/>
      <w:marTop w:val="0"/>
      <w:marBottom w:val="0"/>
      <w:divBdr>
        <w:top w:val="none" w:sz="0" w:space="0" w:color="auto"/>
        <w:left w:val="none" w:sz="0" w:space="0" w:color="auto"/>
        <w:bottom w:val="none" w:sz="0" w:space="0" w:color="auto"/>
        <w:right w:val="none" w:sz="0" w:space="0" w:color="auto"/>
      </w:divBdr>
      <w:divsChild>
        <w:div w:id="743991346">
          <w:marLeft w:val="0"/>
          <w:marRight w:val="0"/>
          <w:marTop w:val="0"/>
          <w:marBottom w:val="0"/>
          <w:divBdr>
            <w:top w:val="none" w:sz="0" w:space="0" w:color="auto"/>
            <w:left w:val="none" w:sz="0" w:space="0" w:color="auto"/>
            <w:bottom w:val="none" w:sz="0" w:space="0" w:color="auto"/>
            <w:right w:val="none" w:sz="0" w:space="0" w:color="auto"/>
          </w:divBdr>
        </w:div>
        <w:div w:id="1794709508">
          <w:marLeft w:val="0"/>
          <w:marRight w:val="0"/>
          <w:marTop w:val="0"/>
          <w:marBottom w:val="0"/>
          <w:divBdr>
            <w:top w:val="none" w:sz="0" w:space="0" w:color="auto"/>
            <w:left w:val="none" w:sz="0" w:space="0" w:color="auto"/>
            <w:bottom w:val="none" w:sz="0" w:space="0" w:color="auto"/>
            <w:right w:val="none" w:sz="0" w:space="0" w:color="auto"/>
          </w:divBdr>
        </w:div>
      </w:divsChild>
    </w:div>
    <w:div w:id="1440368615">
      <w:bodyDiv w:val="1"/>
      <w:marLeft w:val="0"/>
      <w:marRight w:val="0"/>
      <w:marTop w:val="0"/>
      <w:marBottom w:val="0"/>
      <w:divBdr>
        <w:top w:val="none" w:sz="0" w:space="0" w:color="auto"/>
        <w:left w:val="none" w:sz="0" w:space="0" w:color="auto"/>
        <w:bottom w:val="none" w:sz="0" w:space="0" w:color="auto"/>
        <w:right w:val="none" w:sz="0" w:space="0" w:color="auto"/>
      </w:divBdr>
    </w:div>
    <w:div w:id="16702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unc.edu/fbo/fy21-budg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c.edu/fbo/files/2020/01/FY21-Budget-Process_SOM-Funds-Pivot-Example.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hane_alexander@med.unc.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2CD4-A324-4BAE-BCEA-5CF1F22C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Pages>
  <Words>459</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Hospitals</Company>
  <LinksUpToDate>false</LinksUpToDate>
  <CharactersWithSpaces>2818</CharactersWithSpaces>
  <SharedDoc>false</SharedDoc>
  <HLinks>
    <vt:vector size="12" baseType="variant">
      <vt:variant>
        <vt:i4>8323113</vt:i4>
      </vt:variant>
      <vt:variant>
        <vt:i4>3</vt:i4>
      </vt:variant>
      <vt:variant>
        <vt:i4>0</vt:i4>
      </vt:variant>
      <vt:variant>
        <vt:i4>5</vt:i4>
      </vt:variant>
      <vt:variant>
        <vt:lpwstr>mailto:nicole_sebik@med.unc.edu</vt:lpwstr>
      </vt:variant>
      <vt:variant>
        <vt:lpwstr/>
      </vt:variant>
      <vt:variant>
        <vt:i4>2949234</vt:i4>
      </vt:variant>
      <vt:variant>
        <vt:i4>0</vt:i4>
      </vt:variant>
      <vt:variant>
        <vt:i4>0</vt:i4>
      </vt:variant>
      <vt:variant>
        <vt:i4>5</vt:i4>
      </vt:variant>
      <vt:variant>
        <vt:lpwstr>http://www.med.unc.edu/fbo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Hospitals</dc:creator>
  <cp:lastModifiedBy>Gardner, Lauren Solana</cp:lastModifiedBy>
  <cp:revision>28</cp:revision>
  <cp:lastPrinted>2020-01-08T18:45:00Z</cp:lastPrinted>
  <dcterms:created xsi:type="dcterms:W3CDTF">2019-01-24T13:46:00Z</dcterms:created>
  <dcterms:modified xsi:type="dcterms:W3CDTF">2020-01-16T19:22:00Z</dcterms:modified>
</cp:coreProperties>
</file>