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8E1" w:rsidRDefault="00AF08E1" w:rsidP="00AF08E1">
      <w:pPr>
        <w:spacing w:after="0" w:line="240" w:lineRule="auto"/>
        <w:ind w:hanging="360"/>
        <w:rPr>
          <w:rFonts w:ascii="Symbol" w:eastAsia="Times New Roman" w:hAnsi="Symbol" w:cs="Times New Roman"/>
        </w:rPr>
      </w:pPr>
    </w:p>
    <w:p w:rsidR="00AF08E1" w:rsidRPr="00AF08E1" w:rsidRDefault="00AF08E1" w:rsidP="00AF08E1">
      <w:pPr>
        <w:jc w:val="center"/>
        <w:rPr>
          <w:b/>
        </w:rPr>
      </w:pPr>
      <w:r>
        <w:rPr>
          <w:b/>
        </w:rPr>
        <w:t>RNA and DNA Requirements for Genomics Cores</w:t>
      </w:r>
    </w:p>
    <w:p w:rsidR="00AF08E1" w:rsidRDefault="00AF08E1" w:rsidP="00AF08E1">
      <w:pPr>
        <w:spacing w:after="0" w:line="240" w:lineRule="auto"/>
        <w:ind w:hanging="360"/>
        <w:rPr>
          <w:rFonts w:ascii="Symbol" w:eastAsia="Times New Roman" w:hAnsi="Symbol" w:cs="Times New Roman"/>
        </w:rPr>
      </w:pPr>
    </w:p>
    <w:p w:rsidR="00AF08E1" w:rsidRPr="00AF08E1" w:rsidRDefault="00AF08E1" w:rsidP="00AF08E1">
      <w:pPr>
        <w:spacing w:after="0" w:line="240" w:lineRule="auto"/>
        <w:ind w:hanging="360"/>
        <w:rPr>
          <w:rFonts w:eastAsia="Times New Roman" w:cs="Times New Roman"/>
        </w:rPr>
      </w:pPr>
      <w:r>
        <w:rPr>
          <w:rFonts w:ascii="Symbol" w:eastAsia="Times New Roman" w:hAnsi="Symbol" w:cs="Times New Roman"/>
        </w:rPr>
        <w:t></w:t>
      </w:r>
      <w:r>
        <w:rPr>
          <w:rFonts w:eastAsia="Times New Roman" w:cs="Times New Roman"/>
        </w:rPr>
        <w:t xml:space="preserve"> For </w:t>
      </w:r>
      <w:proofErr w:type="spellStart"/>
      <w:r>
        <w:rPr>
          <w:rFonts w:eastAsia="Times New Roman" w:cs="Times New Roman"/>
        </w:rPr>
        <w:t>Affymetrix</w:t>
      </w:r>
      <w:proofErr w:type="spellEnd"/>
      <w:r>
        <w:rPr>
          <w:rFonts w:eastAsia="Times New Roman" w:cs="Times New Roman"/>
        </w:rPr>
        <w:t xml:space="preserve"> expression arrays the RNA needs to be at a concentration of 83.3 ng/</w:t>
      </w:r>
      <w:proofErr w:type="spellStart"/>
      <w:r>
        <w:rPr>
          <w:rFonts w:eastAsia="Times New Roman" w:cs="Times New Roman"/>
        </w:rPr>
        <w:t>ul</w:t>
      </w:r>
      <w:proofErr w:type="spellEnd"/>
      <w:r>
        <w:rPr>
          <w:rFonts w:eastAsia="Times New Roman" w:cs="Times New Roman"/>
        </w:rPr>
        <w:t xml:space="preserve"> with at least </w:t>
      </w:r>
      <w:r w:rsidR="00414682">
        <w:rPr>
          <w:rFonts w:eastAsia="Times New Roman" w:cs="Times New Roman"/>
        </w:rPr>
        <w:t>5</w:t>
      </w:r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ul</w:t>
      </w:r>
      <w:proofErr w:type="spellEnd"/>
      <w:r>
        <w:rPr>
          <w:rFonts w:eastAsia="Times New Roman" w:cs="Times New Roman"/>
        </w:rPr>
        <w:t xml:space="preserve"> of sample. </w:t>
      </w:r>
    </w:p>
    <w:p w:rsidR="00AF08E1" w:rsidRPr="00AF08E1" w:rsidRDefault="00AF08E1" w:rsidP="00AF08E1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Times New Roman"/>
        </w:rPr>
        <w:t></w:t>
      </w:r>
      <w:r w:rsidRPr="00AF08E1">
        <w:rPr>
          <w:rFonts w:ascii="Symbol" w:eastAsia="Times New Roman" w:hAnsi="Symbol" w:cs="Times New Roman"/>
        </w:rPr>
        <w:t></w:t>
      </w:r>
      <w:r w:rsidRPr="00AF08E1">
        <w:rPr>
          <w:rFonts w:ascii="Calibri" w:eastAsia="Times New Roman" w:hAnsi="Calibri" w:cs="Times New Roman"/>
        </w:rPr>
        <w:t xml:space="preserve">RNA or DNA concentration measured by </w:t>
      </w:r>
      <w:proofErr w:type="spellStart"/>
      <w:r w:rsidRPr="00AF08E1">
        <w:rPr>
          <w:rFonts w:ascii="Calibri" w:eastAsia="Times New Roman" w:hAnsi="Calibri" w:cs="Times New Roman"/>
        </w:rPr>
        <w:t>Nanodrop</w:t>
      </w:r>
      <w:proofErr w:type="spellEnd"/>
      <w:r w:rsidRPr="00AF08E1">
        <w:rPr>
          <w:rFonts w:ascii="Calibri" w:eastAsia="Times New Roman" w:hAnsi="Calibri" w:cs="Times New Roman"/>
        </w:rPr>
        <w:t xml:space="preserve"> (or equivalent spectrophotometer) for all microarray samples</w:t>
      </w:r>
    </w:p>
    <w:p w:rsidR="00BA5043" w:rsidRPr="00BA5043" w:rsidRDefault="00AF08E1" w:rsidP="00BA5043">
      <w:pPr>
        <w:spacing w:after="0" w:line="240" w:lineRule="auto"/>
        <w:ind w:hanging="360"/>
        <w:rPr>
          <w:rFonts w:ascii="Calibri" w:eastAsia="Times New Roman" w:hAnsi="Calibri" w:cs="Times New Roman"/>
        </w:rPr>
      </w:pPr>
      <w:r>
        <w:rPr>
          <w:rFonts w:ascii="Symbol" w:eastAsia="Times New Roman" w:hAnsi="Symbol" w:cs="Times New Roman"/>
        </w:rPr>
        <w:t></w:t>
      </w:r>
      <w:r w:rsidRPr="00AF08E1">
        <w:rPr>
          <w:rFonts w:ascii="Symbol" w:eastAsia="Times New Roman" w:hAnsi="Symbol" w:cs="Times New Roman"/>
        </w:rPr>
        <w:t></w:t>
      </w:r>
      <w:r w:rsidRPr="00AF08E1">
        <w:rPr>
          <w:rFonts w:ascii="Calibri" w:eastAsia="Times New Roman" w:hAnsi="Calibri" w:cs="Times New Roman"/>
        </w:rPr>
        <w:t>RNA or DNA concentration measured by Qubit for all sequencing samples</w:t>
      </w:r>
    </w:p>
    <w:p w:rsidR="00AF08E1" w:rsidRPr="00AF08E1" w:rsidRDefault="00AF08E1" w:rsidP="00AF08E1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Times New Roman"/>
        </w:rPr>
        <w:t></w:t>
      </w:r>
      <w:r w:rsidRPr="00AF08E1">
        <w:rPr>
          <w:rFonts w:ascii="Symbol" w:eastAsia="Times New Roman" w:hAnsi="Symbol" w:cs="Times New Roman"/>
        </w:rPr>
        <w:t></w:t>
      </w:r>
      <w:r w:rsidRPr="00AF08E1">
        <w:rPr>
          <w:rFonts w:ascii="Calibri" w:eastAsia="Times New Roman" w:hAnsi="Calibri" w:cs="Times New Roman"/>
        </w:rPr>
        <w:t>A</w:t>
      </w:r>
      <w:r w:rsidRPr="00AF08E1">
        <w:rPr>
          <w:rFonts w:ascii="Calibri" w:eastAsia="Times New Roman" w:hAnsi="Calibri" w:cs="Times New Roman"/>
          <w:sz w:val="20"/>
          <w:szCs w:val="20"/>
          <w:vertAlign w:val="subscript"/>
        </w:rPr>
        <w:t>260</w:t>
      </w:r>
      <w:r w:rsidRPr="00AF08E1">
        <w:rPr>
          <w:rFonts w:ascii="Calibri" w:eastAsia="Times New Roman" w:hAnsi="Calibri" w:cs="Times New Roman"/>
        </w:rPr>
        <w:t>/A</w:t>
      </w:r>
      <w:r w:rsidRPr="00AF08E1">
        <w:rPr>
          <w:rFonts w:ascii="Calibri" w:eastAsia="Times New Roman" w:hAnsi="Calibri" w:cs="Times New Roman"/>
          <w:sz w:val="20"/>
          <w:szCs w:val="20"/>
          <w:vertAlign w:val="subscript"/>
        </w:rPr>
        <w:t>280</w:t>
      </w:r>
      <w:r w:rsidRPr="00AF08E1">
        <w:rPr>
          <w:rFonts w:ascii="Calibri" w:eastAsia="Times New Roman" w:hAnsi="Calibri" w:cs="Times New Roman"/>
        </w:rPr>
        <w:t xml:space="preserve"> ratio greater than 1.7 for RNA samples, greater than 1.6 for DNA samples</w:t>
      </w:r>
    </w:p>
    <w:p w:rsidR="00AF08E1" w:rsidRDefault="00AF08E1" w:rsidP="00AF08E1">
      <w:pPr>
        <w:spacing w:after="0" w:line="240" w:lineRule="auto"/>
        <w:ind w:hanging="360"/>
        <w:rPr>
          <w:rFonts w:ascii="Calibri" w:eastAsia="Times New Roman" w:hAnsi="Calibri" w:cs="Times New Roman"/>
          <w:color w:val="0000FF"/>
          <w:u w:val="single"/>
        </w:rPr>
      </w:pPr>
      <w:r>
        <w:rPr>
          <w:rFonts w:ascii="Symbol" w:eastAsia="Times New Roman" w:hAnsi="Symbol" w:cs="Times New Roman"/>
        </w:rPr>
        <w:t></w:t>
      </w:r>
      <w:r w:rsidRPr="00AF08E1">
        <w:rPr>
          <w:rFonts w:ascii="Symbol" w:eastAsia="Times New Roman" w:hAnsi="Symbol" w:cs="Times New Roman"/>
        </w:rPr>
        <w:t></w:t>
      </w:r>
      <w:r w:rsidRPr="00AF08E1">
        <w:rPr>
          <w:rFonts w:ascii="Calibri" w:eastAsia="Times New Roman" w:hAnsi="Calibri" w:cs="Times New Roman"/>
        </w:rPr>
        <w:t>A</w:t>
      </w:r>
      <w:r w:rsidRPr="00AF08E1">
        <w:rPr>
          <w:rFonts w:ascii="Calibri" w:eastAsia="Times New Roman" w:hAnsi="Calibri" w:cs="Times New Roman"/>
          <w:sz w:val="20"/>
          <w:szCs w:val="20"/>
          <w:vertAlign w:val="subscript"/>
        </w:rPr>
        <w:t>260</w:t>
      </w:r>
      <w:r w:rsidRPr="00AF08E1">
        <w:rPr>
          <w:rFonts w:ascii="Calibri" w:eastAsia="Times New Roman" w:hAnsi="Calibri" w:cs="Times New Roman"/>
        </w:rPr>
        <w:t>/A</w:t>
      </w:r>
      <w:r w:rsidRPr="00AF08E1">
        <w:rPr>
          <w:rFonts w:ascii="Calibri" w:eastAsia="Times New Roman" w:hAnsi="Calibri" w:cs="Times New Roman"/>
          <w:sz w:val="20"/>
          <w:szCs w:val="20"/>
          <w:vertAlign w:val="subscript"/>
        </w:rPr>
        <w:t>230</w:t>
      </w:r>
      <w:r w:rsidRPr="00AF08E1">
        <w:rPr>
          <w:rFonts w:ascii="Calibri" w:eastAsia="Times New Roman" w:hAnsi="Calibri" w:cs="Times New Roman"/>
        </w:rPr>
        <w:t xml:space="preserve"> ratio greater than 1.7 for all samples. See:  </w:t>
      </w:r>
      <w:hyperlink r:id="rId4" w:tgtFrame="_blank" w:history="1">
        <w:r w:rsidRPr="00AF08E1">
          <w:rPr>
            <w:rFonts w:ascii="Calibri" w:eastAsia="Times New Roman" w:hAnsi="Calibri" w:cs="Times New Roman"/>
            <w:color w:val="0000FF"/>
            <w:u w:val="single"/>
          </w:rPr>
          <w:t>http://www.bcm.edu/garp/?PMID=3100</w:t>
        </w:r>
      </w:hyperlink>
    </w:p>
    <w:p w:rsidR="00BA5043" w:rsidRPr="00AF08E1" w:rsidRDefault="00BA5043" w:rsidP="00AF08E1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Times New Roman"/>
        </w:rPr>
        <w:t></w:t>
      </w:r>
      <w:r w:rsidRPr="00AF08E1">
        <w:rPr>
          <w:rFonts w:ascii="Symbol" w:eastAsia="Times New Roman" w:hAnsi="Symbol" w:cs="Times New Roman"/>
        </w:rPr>
        <w:t></w:t>
      </w:r>
      <w:r w:rsidRPr="00AF08E1">
        <w:rPr>
          <w:rFonts w:ascii="Calibri" w:eastAsia="Times New Roman" w:hAnsi="Calibri" w:cs="Times New Roman"/>
        </w:rPr>
        <w:t xml:space="preserve">RNA </w:t>
      </w:r>
      <w:r>
        <w:rPr>
          <w:rFonts w:ascii="Calibri" w:eastAsia="Times New Roman" w:hAnsi="Calibri" w:cs="Times New Roman"/>
        </w:rPr>
        <w:t>must have a RIN score of 7.5 or higher.</w:t>
      </w:r>
    </w:p>
    <w:p w:rsidR="00AF08E1" w:rsidRPr="00AF08E1" w:rsidRDefault="00AF08E1" w:rsidP="00AF08E1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Times New Roman"/>
        </w:rPr>
        <w:t></w:t>
      </w:r>
      <w:r w:rsidRPr="00AF08E1">
        <w:rPr>
          <w:rFonts w:ascii="Symbol" w:eastAsia="Times New Roman" w:hAnsi="Symbol" w:cs="Times New Roman"/>
        </w:rPr>
        <w:t></w:t>
      </w:r>
      <w:proofErr w:type="spellStart"/>
      <w:r w:rsidRPr="00AF08E1">
        <w:rPr>
          <w:rFonts w:ascii="Calibri" w:eastAsia="Times New Roman" w:hAnsi="Calibri" w:cs="Times New Roman"/>
        </w:rPr>
        <w:t>Bioanalyzer</w:t>
      </w:r>
      <w:proofErr w:type="spellEnd"/>
      <w:r w:rsidRPr="00AF08E1">
        <w:rPr>
          <w:rFonts w:ascii="Calibri" w:eastAsia="Times New Roman" w:hAnsi="Calibri" w:cs="Times New Roman"/>
        </w:rPr>
        <w:t xml:space="preserve"> tracings on all samples after receipt in core lab</w:t>
      </w:r>
      <w:bookmarkStart w:id="0" w:name="_GoBack"/>
      <w:bookmarkEnd w:id="0"/>
    </w:p>
    <w:p w:rsidR="001921EF" w:rsidRDefault="00AF08E1" w:rsidP="00BA5043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Times New Roman"/>
        </w:rPr>
        <w:t></w:t>
      </w:r>
      <w:r w:rsidRPr="00AF08E1">
        <w:rPr>
          <w:rFonts w:ascii="Symbol" w:eastAsia="Times New Roman" w:hAnsi="Symbol" w:cs="Times New Roman"/>
        </w:rPr>
        <w:t></w:t>
      </w:r>
      <w:r w:rsidRPr="00AF08E1">
        <w:rPr>
          <w:rFonts w:ascii="Calibri" w:eastAsia="Times New Roman" w:hAnsi="Calibri" w:cs="Times New Roman"/>
        </w:rPr>
        <w:t xml:space="preserve">The </w:t>
      </w:r>
      <w:proofErr w:type="spellStart"/>
      <w:r w:rsidRPr="00AF08E1">
        <w:rPr>
          <w:rFonts w:ascii="Calibri" w:eastAsia="Times New Roman" w:hAnsi="Calibri" w:cs="Times New Roman"/>
        </w:rPr>
        <w:t>Bioanalyzer</w:t>
      </w:r>
      <w:proofErr w:type="spellEnd"/>
      <w:r w:rsidRPr="00AF08E1">
        <w:rPr>
          <w:rFonts w:ascii="Calibri" w:eastAsia="Times New Roman" w:hAnsi="Calibri" w:cs="Times New Roman"/>
        </w:rPr>
        <w:t xml:space="preserve"> can give an estimate of RNA concentration based on the areas under the 18S and 28S </w:t>
      </w:r>
      <w:proofErr w:type="spellStart"/>
      <w:r w:rsidRPr="00AF08E1">
        <w:rPr>
          <w:rFonts w:ascii="Calibri" w:eastAsia="Times New Roman" w:hAnsi="Calibri" w:cs="Times New Roman"/>
        </w:rPr>
        <w:t>rRNA</w:t>
      </w:r>
      <w:proofErr w:type="spellEnd"/>
      <w:r w:rsidRPr="00AF08E1">
        <w:rPr>
          <w:rFonts w:ascii="Calibri" w:eastAsia="Times New Roman" w:hAnsi="Calibri" w:cs="Times New Roman"/>
        </w:rPr>
        <w:t xml:space="preserve"> peaks. This should be similar to the </w:t>
      </w:r>
      <w:proofErr w:type="spellStart"/>
      <w:r w:rsidRPr="00AF08E1">
        <w:rPr>
          <w:rFonts w:ascii="Calibri" w:eastAsia="Times New Roman" w:hAnsi="Calibri" w:cs="Times New Roman"/>
        </w:rPr>
        <w:t>Nanodrop</w:t>
      </w:r>
      <w:proofErr w:type="spellEnd"/>
      <w:r w:rsidRPr="00AF08E1">
        <w:rPr>
          <w:rFonts w:ascii="Calibri" w:eastAsia="Times New Roman" w:hAnsi="Calibri" w:cs="Times New Roman"/>
        </w:rPr>
        <w:t xml:space="preserve"> readings. However in some cases </w:t>
      </w:r>
      <w:proofErr w:type="spellStart"/>
      <w:r w:rsidRPr="00AF08E1">
        <w:rPr>
          <w:rFonts w:ascii="Calibri" w:eastAsia="Times New Roman" w:hAnsi="Calibri" w:cs="Times New Roman"/>
        </w:rPr>
        <w:t>Nanodrop</w:t>
      </w:r>
      <w:proofErr w:type="spellEnd"/>
      <w:r w:rsidRPr="00AF08E1">
        <w:rPr>
          <w:rFonts w:ascii="Calibri" w:eastAsia="Times New Roman" w:hAnsi="Calibri" w:cs="Times New Roman"/>
        </w:rPr>
        <w:t xml:space="preserve"> can give substantially higher readings, particularly with sorted cells (reason unknown). If this occurs sample concentration should be retested by Qubit.</w:t>
      </w:r>
    </w:p>
    <w:p w:rsidR="00BA5043" w:rsidRPr="00BA5043" w:rsidRDefault="00BA5043" w:rsidP="00BA5043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sectPr w:rsidR="00BA5043" w:rsidRPr="00BA50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8E1"/>
    <w:rsid w:val="001921EF"/>
    <w:rsid w:val="00414682"/>
    <w:rsid w:val="00AF08E1"/>
    <w:rsid w:val="00BA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29B39"/>
  <w15:docId w15:val="{45110945-B103-4166-B02C-7625D728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F08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44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5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31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5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16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72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utlook.unc.edu/owa/redir.aspx?C=GY6nJz02EE-4SOw1b_VykE3chka8-s8IFxCRJKU3vSLKgAIKfmzKKIINVrOvm8fB-rfuHKesv2E.&amp;URL=http%3a%2f%2fwww.bcm.edu%2fgarp%2f%3fPMID%3d3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mvernon</dc:creator>
  <cp:lastModifiedBy>Vernon, Michael J</cp:lastModifiedBy>
  <cp:revision>3</cp:revision>
  <dcterms:created xsi:type="dcterms:W3CDTF">2013-03-22T17:48:00Z</dcterms:created>
  <dcterms:modified xsi:type="dcterms:W3CDTF">2018-05-31T15:10:00Z</dcterms:modified>
</cp:coreProperties>
</file>