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EBE4" w14:textId="17F9E9B6" w:rsidR="00566009" w:rsidRDefault="00566009" w:rsidP="00566009">
      <w:pPr>
        <w:pStyle w:val="Heading2"/>
      </w:pPr>
      <w:r>
        <w:t xml:space="preserve">Nextseq Platforms </w:t>
      </w:r>
    </w:p>
    <w:p w14:paraId="18DAEBE5" w14:textId="25FB165F" w:rsidR="00566009" w:rsidRPr="0028397F" w:rsidRDefault="00566009" w:rsidP="00566009">
      <w:pPr>
        <w:pStyle w:val="NormalWeb"/>
        <w:rPr>
          <w:rFonts w:asciiTheme="minorHAnsi" w:hAnsiTheme="minorHAnsi"/>
        </w:rPr>
      </w:pPr>
      <w:r w:rsidRPr="0028397F">
        <w:rPr>
          <w:rFonts w:asciiTheme="minorHAnsi" w:hAnsiTheme="minorHAnsi"/>
        </w:rPr>
        <w:t>The N</w:t>
      </w:r>
      <w:r w:rsidR="000667D2">
        <w:rPr>
          <w:rFonts w:asciiTheme="minorHAnsi" w:hAnsiTheme="minorHAnsi"/>
        </w:rPr>
        <w:t>extseq</w:t>
      </w:r>
      <w:r w:rsidR="0028397F">
        <w:rPr>
          <w:rFonts w:asciiTheme="minorHAnsi" w:hAnsiTheme="minorHAnsi"/>
        </w:rPr>
        <w:t>2000</w:t>
      </w:r>
      <w:r w:rsidRPr="0028397F">
        <w:rPr>
          <w:rFonts w:asciiTheme="minorHAnsi" w:hAnsiTheme="minorHAnsi"/>
        </w:rPr>
        <w:t xml:space="preserve"> is</w:t>
      </w:r>
      <w:r w:rsidR="00692E02">
        <w:rPr>
          <w:rFonts w:asciiTheme="minorHAnsi" w:hAnsiTheme="minorHAnsi"/>
        </w:rPr>
        <w:t xml:space="preserve"> a</w:t>
      </w:r>
      <w:r w:rsidRPr="0028397F">
        <w:rPr>
          <w:rFonts w:asciiTheme="minorHAnsi" w:hAnsiTheme="minorHAnsi"/>
        </w:rPr>
        <w:t xml:space="preserve"> </w:t>
      </w:r>
      <w:r w:rsidR="0028397F">
        <w:rPr>
          <w:rFonts w:asciiTheme="minorHAnsi" w:hAnsiTheme="minorHAnsi"/>
        </w:rPr>
        <w:t>mid range</w:t>
      </w:r>
      <w:r w:rsidRPr="0028397F">
        <w:rPr>
          <w:rFonts w:asciiTheme="minorHAnsi" w:hAnsiTheme="minorHAnsi"/>
        </w:rPr>
        <w:t xml:space="preserve"> Illumina sequencing platform. There are multiple flowcell versions which each have different data yields/ lane. The NovaSeq works well for:</w:t>
      </w:r>
    </w:p>
    <w:p w14:paraId="18DAEBE6" w14:textId="77777777" w:rsidR="00566009" w:rsidRPr="0028397F" w:rsidRDefault="008B3DDE" w:rsidP="005660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Single Cell Gene Expression </w:t>
      </w:r>
    </w:p>
    <w:p w14:paraId="18DAEBE7" w14:textId="77777777" w:rsidR="00566009" w:rsidRPr="0028397F" w:rsidRDefault="008B3DDE" w:rsidP="005660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Small Scale </w:t>
      </w:r>
      <w:r w:rsidR="00566009" w:rsidRPr="0028397F">
        <w:t>Whole Genome Sequencing (WGS)</w:t>
      </w:r>
    </w:p>
    <w:p w14:paraId="18DAEBE8" w14:textId="77777777" w:rsidR="00566009" w:rsidRPr="0028397F" w:rsidRDefault="008B3DDE" w:rsidP="005660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Small Scale </w:t>
      </w:r>
      <w:r w:rsidR="00566009" w:rsidRPr="0028397F">
        <w:t>Whole Exome Sequencing (WES)</w:t>
      </w:r>
    </w:p>
    <w:p w14:paraId="18DAEBE9" w14:textId="77777777" w:rsidR="0028397F" w:rsidRPr="008B3DDE" w:rsidRDefault="008B3DDE" w:rsidP="0056600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Shotgun Metagenomics</w:t>
      </w:r>
    </w:p>
    <w:p w14:paraId="18DAEBEA" w14:textId="77777777" w:rsidR="00566009" w:rsidRPr="0028397F" w:rsidRDefault="00566009" w:rsidP="00566009">
      <w:pPr>
        <w:pStyle w:val="NormalWeb"/>
        <w:rPr>
          <w:rFonts w:asciiTheme="minorHAnsi" w:hAnsiTheme="minorHAnsi"/>
        </w:rPr>
      </w:pPr>
      <w:r w:rsidRPr="0028397F">
        <w:rPr>
          <w:rFonts w:asciiTheme="minorHAnsi" w:hAnsiTheme="minorHAnsi"/>
        </w:rPr>
        <w:t>Please view the table below to determine the best fit for your needs.</w:t>
      </w:r>
      <w:r w:rsidR="008B3DDE">
        <w:rPr>
          <w:rFonts w:asciiTheme="minorHAnsi" w:hAnsiTheme="minorHAnsi"/>
        </w:rPr>
        <w:t xml:space="preserve"> If you have issues determining the best fit,</w:t>
      </w:r>
      <w:r w:rsidRPr="0028397F">
        <w:rPr>
          <w:rFonts w:asciiTheme="minorHAnsi" w:hAnsiTheme="minorHAnsi"/>
        </w:rPr>
        <w:t xml:space="preserve"> HTSF is here to help you figure out the best format for your study’s data need. </w:t>
      </w:r>
      <w:r w:rsidR="008B3DDE">
        <w:rPr>
          <w:rFonts w:asciiTheme="minorHAnsi" w:hAnsiTheme="minorHAnsi"/>
        </w:rPr>
        <w:t xml:space="preserve">There are 3 different flowcell sizes (P1, P2, P3). </w:t>
      </w:r>
      <w:r w:rsidRPr="0028397F">
        <w:rPr>
          <w:rFonts w:asciiTheme="minorHAnsi" w:hAnsiTheme="minorHAnsi"/>
        </w:rPr>
        <w:t>There is a more limited number of standard cycle set up. But the HTSF continues to run custom cycles on the NovaSeq.</w:t>
      </w:r>
    </w:p>
    <w:p w14:paraId="18DAEBEB" w14:textId="77777777" w:rsidR="00566009" w:rsidRPr="0028397F" w:rsidRDefault="00566009" w:rsidP="00566009">
      <w:pPr>
        <w:pStyle w:val="NormalWeb"/>
        <w:rPr>
          <w:rFonts w:asciiTheme="minorHAnsi" w:hAnsiTheme="minorHAnsi"/>
        </w:rPr>
      </w:pPr>
      <w:r w:rsidRPr="0028397F">
        <w:rPr>
          <w:rFonts w:asciiTheme="minorHAnsi" w:hAnsiTheme="minorHAnsi"/>
        </w:rPr>
        <w:t>A few</w:t>
      </w:r>
      <w:r w:rsidR="004C1AC8">
        <w:rPr>
          <w:rFonts w:asciiTheme="minorHAnsi" w:hAnsiTheme="minorHAnsi"/>
        </w:rPr>
        <w:t xml:space="preserve"> quick view details about the Nextseq2000</w:t>
      </w:r>
      <w:r w:rsidRPr="0028397F">
        <w:rPr>
          <w:rFonts w:asciiTheme="minorHAnsi" w:hAnsiTheme="minorHAnsi"/>
        </w:rPr>
        <w:t>:</w:t>
      </w:r>
    </w:p>
    <w:p w14:paraId="18DAEBEC" w14:textId="77777777" w:rsidR="00566009" w:rsidRPr="0028397F" w:rsidRDefault="00566009" w:rsidP="00566009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28397F">
        <w:t>It uses patterned flowcells and 2 color channel chemistry.</w:t>
      </w:r>
    </w:p>
    <w:p w14:paraId="18DAEBED" w14:textId="77777777" w:rsidR="00566009" w:rsidRPr="0028397F" w:rsidRDefault="00566009" w:rsidP="00566009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28397F">
        <w:t xml:space="preserve">This system </w:t>
      </w:r>
      <w:r w:rsidR="004C1AC8">
        <w:t xml:space="preserve">replaced the HiSeq platforms with some version similar in data output size, but at a lower cost/ run. </w:t>
      </w:r>
    </w:p>
    <w:p w14:paraId="18DAEBEE" w14:textId="77777777" w:rsidR="00566009" w:rsidRPr="0028397F" w:rsidRDefault="004C1AC8" w:rsidP="0056600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With a single lane, sample can be loaded as soon as the machine is available.</w:t>
      </w:r>
    </w:p>
    <w:p w14:paraId="18DAEBEF" w14:textId="77777777" w:rsidR="00566009" w:rsidRPr="0028397F" w:rsidRDefault="00566009" w:rsidP="00566009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28397F">
        <w:t>To determine the best version for your study’s needs, a conference with the HTSF is required.</w:t>
      </w:r>
    </w:p>
    <w:p w14:paraId="18DAEBF0" w14:textId="77777777" w:rsidR="00566009" w:rsidRPr="0028397F" w:rsidRDefault="00566009" w:rsidP="00566009">
      <w:pPr>
        <w:pStyle w:val="NormalWeb"/>
        <w:rPr>
          <w:rFonts w:asciiTheme="minorHAnsi" w:hAnsiTheme="minorHAnsi"/>
        </w:rPr>
      </w:pPr>
      <w:r w:rsidRPr="0028397F">
        <w:rPr>
          <w:rFonts w:asciiTheme="minorHAnsi" w:hAnsiTheme="minorHAnsi"/>
        </w:rPr>
        <w:t>The below table which compares the various N</w:t>
      </w:r>
      <w:r w:rsidR="0028397F">
        <w:rPr>
          <w:rFonts w:asciiTheme="minorHAnsi" w:hAnsiTheme="minorHAnsi"/>
        </w:rPr>
        <w:t>extseq</w:t>
      </w:r>
      <w:r w:rsidRPr="0028397F">
        <w:rPr>
          <w:rFonts w:asciiTheme="minorHAnsi" w:hAnsiTheme="minorHAnsi"/>
        </w:rPr>
        <w:t xml:space="preserve"> loading version abilities can be found in the Forms and Guides tab, Illumina as part of </w:t>
      </w:r>
      <w:hyperlink r:id="rId8" w:history="1">
        <w:r w:rsidRPr="0028397F">
          <w:rPr>
            <w:rStyle w:val="Hyperlink"/>
            <w:rFonts w:asciiTheme="minorHAnsi" w:hAnsiTheme="minorHAnsi"/>
          </w:rPr>
          <w:t>Illumina Platform Comparison and Specification Table</w:t>
        </w:r>
      </w:hyperlink>
      <w:r w:rsidRPr="0028397F">
        <w:rPr>
          <w:rFonts w:asciiTheme="minorHAnsi" w:hAnsiTheme="minorHAnsi"/>
        </w:rPr>
        <w:t>.</w:t>
      </w:r>
    </w:p>
    <w:p w14:paraId="18DAEBF1" w14:textId="77777777" w:rsidR="00566009" w:rsidRPr="0028397F" w:rsidRDefault="00566009" w:rsidP="00566009">
      <w:pPr>
        <w:pStyle w:val="NormalWeb"/>
        <w:rPr>
          <w:rFonts w:asciiTheme="minorHAnsi" w:hAnsiTheme="minorHAnsi"/>
        </w:rPr>
      </w:pPr>
      <w:r w:rsidRPr="0028397F">
        <w:rPr>
          <w:rFonts w:asciiTheme="minorHAnsi" w:hAnsiTheme="minorHAnsi"/>
        </w:rPr>
        <w:t>Please note, cycles can be made custom to certain library prep methods (i.e. 10x genomics</w:t>
      </w:r>
      <w:r w:rsidR="008B3DDE">
        <w:rPr>
          <w:rFonts w:asciiTheme="minorHAnsi" w:hAnsiTheme="minorHAnsi"/>
        </w:rPr>
        <w:t>, DropSeq</w:t>
      </w:r>
      <w:r w:rsidRPr="0028397F">
        <w:rPr>
          <w:rFonts w:asciiTheme="minorHAnsi" w:hAnsiTheme="minorHAnsi"/>
        </w:rPr>
        <w:t>).</w:t>
      </w:r>
    </w:p>
    <w:p w14:paraId="18DAEBF2" w14:textId="77777777" w:rsidR="00566009" w:rsidRPr="00817267" w:rsidRDefault="00566009" w:rsidP="00817267">
      <w:pPr>
        <w:pStyle w:val="Heading3"/>
        <w:shd w:val="clear" w:color="auto" w:fill="FFF2CC" w:themeFill="accent4" w:themeFillTint="33"/>
        <w:rPr>
          <w:rFonts w:asciiTheme="minorHAnsi" w:hAnsiTheme="minorHAnsi"/>
          <w:b/>
        </w:rPr>
      </w:pPr>
      <w:r w:rsidRPr="00817267">
        <w:rPr>
          <w:rFonts w:asciiTheme="minorHAnsi" w:hAnsiTheme="minorHAnsi"/>
          <w:b/>
        </w:rPr>
        <w:t>N</w:t>
      </w:r>
      <w:r w:rsidR="006C4FB6" w:rsidRPr="00817267">
        <w:rPr>
          <w:rFonts w:asciiTheme="minorHAnsi" w:hAnsiTheme="minorHAnsi"/>
          <w:b/>
        </w:rPr>
        <w:t>ext</w:t>
      </w:r>
      <w:r w:rsidRPr="00817267">
        <w:rPr>
          <w:rFonts w:asciiTheme="minorHAnsi" w:hAnsiTheme="minorHAnsi"/>
          <w:b/>
        </w:rPr>
        <w:t xml:space="preserve">Seq Standard 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2400"/>
        <w:gridCol w:w="1830"/>
        <w:gridCol w:w="1620"/>
        <w:gridCol w:w="2520"/>
      </w:tblGrid>
      <w:tr w:rsidR="00817267" w:rsidRPr="00817267" w14:paraId="18DAEBF5" w14:textId="77777777" w:rsidTr="00817267">
        <w:trPr>
          <w:trHeight w:val="49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EBF3" w14:textId="77777777" w:rsidR="00817267" w:rsidRPr="00817267" w:rsidRDefault="00817267" w:rsidP="0081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DAEBF4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NextSeq2000</w:t>
            </w:r>
          </w:p>
        </w:tc>
      </w:tr>
      <w:tr w:rsidR="00817267" w:rsidRPr="00817267" w14:paraId="18DAEBFA" w14:textId="77777777" w:rsidTr="00817267">
        <w:trPr>
          <w:trHeight w:val="3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18DAEBF6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Platform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DAEBF7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DAEBF8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P2 Reagents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DAEBF9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P3 Reagents</w:t>
            </w:r>
          </w:p>
        </w:tc>
      </w:tr>
      <w:tr w:rsidR="00817267" w:rsidRPr="00817267" w14:paraId="18DAEBFF" w14:textId="77777777" w:rsidTr="00817267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BFB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Nickname for system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BFC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NextSeq P1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BFD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NextSeq P2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BFE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NextSeq P3</w:t>
            </w:r>
          </w:p>
        </w:tc>
      </w:tr>
      <w:tr w:rsidR="00817267" w:rsidRPr="00817267" w14:paraId="18DAEC04" w14:textId="77777777" w:rsidTr="00817267">
        <w:trPr>
          <w:trHeight w:val="34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00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Flowcells processed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01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02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03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7267" w:rsidRPr="00817267" w14:paraId="18DAEC09" w14:textId="77777777" w:rsidTr="00817267">
        <w:trPr>
          <w:trHeight w:val="37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05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Lanes/flowcell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06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07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08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7267" w:rsidRPr="00817267" w14:paraId="18DAEC0E" w14:textId="77777777" w:rsidTr="0081726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0A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Max </w:t>
            </w:r>
            <w:r w:rsidRPr="0081726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PAIRED END </w:t>
            </w: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Reads/Flowcell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0B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0C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 million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0D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 billion</w:t>
            </w:r>
          </w:p>
        </w:tc>
      </w:tr>
      <w:tr w:rsidR="00817267" w:rsidRPr="00817267" w14:paraId="18DAEC13" w14:textId="77777777" w:rsidTr="0081726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0F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Max </w:t>
            </w:r>
            <w:r w:rsidRPr="0081726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SINGLE END </w:t>
            </w: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Reads/Flowcell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10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11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 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12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 B</w:t>
            </w:r>
          </w:p>
        </w:tc>
      </w:tr>
      <w:tr w:rsidR="00817267" w:rsidRPr="00817267" w14:paraId="18DAEC18" w14:textId="77777777" w:rsidTr="00817267">
        <w:trPr>
          <w:trHeight w:val="37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14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Clusters</w:t>
            </w: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/Flowcell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15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16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 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17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 B</w:t>
            </w:r>
          </w:p>
        </w:tc>
      </w:tr>
      <w:tr w:rsidR="00817267" w:rsidRPr="00817267" w14:paraId="18DAEC1D" w14:textId="77777777" w:rsidTr="00817267">
        <w:trPr>
          <w:trHeight w:val="46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19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Read Type Format Available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1A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Paired End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1B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Paired End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1C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Paired End*</w:t>
            </w:r>
          </w:p>
        </w:tc>
      </w:tr>
      <w:tr w:rsidR="00817267" w:rsidRPr="00817267" w14:paraId="18DAEC20" w14:textId="77777777" w:rsidTr="00817267">
        <w:trPr>
          <w:trHeight w:val="402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AEC1E" w14:textId="77777777" w:rsidR="00817267" w:rsidRPr="00817267" w:rsidRDefault="00817267" w:rsidP="00817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18DAEC1F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*some single end runs available upon request</w:t>
            </w:r>
          </w:p>
        </w:tc>
      </w:tr>
      <w:tr w:rsidR="00817267" w:rsidRPr="00817267" w14:paraId="18DAEC25" w14:textId="77777777" w:rsidTr="00817267">
        <w:trPr>
          <w:trHeight w:val="55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21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Read Length Available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C22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150x, Custom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C23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50x, 100x, 150x, Custom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C24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50x*, 50x, 100x, 150x, Custom </w:t>
            </w:r>
          </w:p>
        </w:tc>
      </w:tr>
      <w:tr w:rsidR="00817267" w:rsidRPr="00817267" w14:paraId="18DAEC2A" w14:textId="77777777" w:rsidTr="00817267">
        <w:trPr>
          <w:trHeight w:val="342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AEC26" w14:textId="77777777" w:rsidR="00817267" w:rsidRPr="00817267" w:rsidRDefault="00817267" w:rsidP="00817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27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EC28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29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*1x50 available </w:t>
            </w:r>
          </w:p>
        </w:tc>
      </w:tr>
      <w:tr w:rsidR="00817267" w:rsidRPr="00817267" w14:paraId="18DAEC2F" w14:textId="77777777" w:rsidTr="00817267">
        <w:trPr>
          <w:trHeight w:val="5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2B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Guaranteed Data Yield/ Flowcell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2C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100M Clusters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2D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400M clusters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2E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 B clusters</w:t>
            </w:r>
          </w:p>
        </w:tc>
      </w:tr>
      <w:tr w:rsidR="00817267" w:rsidRPr="00817267" w14:paraId="18DAEC34" w14:textId="77777777" w:rsidTr="00817267">
        <w:trPr>
          <w:trHeight w:val="582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AEC30" w14:textId="77777777" w:rsidR="00817267" w:rsidRPr="00817267" w:rsidRDefault="00817267" w:rsidP="00817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C31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200M Paired End Reads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C32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800M paired end  Reads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C33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 billion paired end Reads</w:t>
            </w:r>
          </w:p>
        </w:tc>
      </w:tr>
      <w:tr w:rsidR="00817267" w:rsidRPr="00817267" w14:paraId="18DAEC39" w14:textId="77777777" w:rsidTr="00817267">
        <w:trPr>
          <w:trHeight w:val="10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35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172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Key applications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C36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Small WGS, WES, scRNA-Seq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C37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Small WGS, WES, scRNA-Seq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C38" w14:textId="77777777" w:rsidR="00817267" w:rsidRPr="00817267" w:rsidRDefault="00817267" w:rsidP="00817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72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Small WGS, WES, scRNA-Seq, smallRNA/miRNA-Seq</w:t>
            </w:r>
          </w:p>
        </w:tc>
      </w:tr>
    </w:tbl>
    <w:p w14:paraId="18DAEC3A" w14:textId="77777777" w:rsidR="00E90491" w:rsidRDefault="00E90491" w:rsidP="00F17209">
      <w:pPr>
        <w:rPr>
          <w:sz w:val="20"/>
          <w:szCs w:val="20"/>
        </w:rPr>
      </w:pPr>
    </w:p>
    <w:tbl>
      <w:tblPr>
        <w:tblW w:w="7260" w:type="dxa"/>
        <w:tblLook w:val="04A0" w:firstRow="1" w:lastRow="0" w:firstColumn="1" w:lastColumn="0" w:noHBand="0" w:noVBand="1"/>
      </w:tblPr>
      <w:tblGrid>
        <w:gridCol w:w="2700"/>
        <w:gridCol w:w="2280"/>
        <w:gridCol w:w="2280"/>
      </w:tblGrid>
      <w:tr w:rsidR="00D16320" w:rsidRPr="00D16320" w14:paraId="18DAEC3D" w14:textId="77777777" w:rsidTr="00D16320">
        <w:trPr>
          <w:trHeight w:val="255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EC3B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DAEC3C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NextSeq2000 Requirements</w:t>
            </w:r>
          </w:p>
        </w:tc>
      </w:tr>
      <w:tr w:rsidR="00D16320" w:rsidRPr="00D16320" w14:paraId="18DAEC41" w14:textId="77777777" w:rsidTr="00D16320">
        <w:trPr>
          <w:trHeight w:val="25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AEC3E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C3F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 Reagents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C40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P3 Reagents</w:t>
            </w:r>
          </w:p>
        </w:tc>
      </w:tr>
      <w:tr w:rsidR="00D16320" w:rsidRPr="00D16320" w14:paraId="18DAEC45" w14:textId="77777777" w:rsidTr="00D1632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42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Number of Lanes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43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44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16320" w:rsidRPr="00D16320" w14:paraId="18DAEC49" w14:textId="77777777" w:rsidTr="00D1632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46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Minimum Volume (ul)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47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48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16320" w:rsidRPr="00D16320" w14:paraId="18DAEC4D" w14:textId="77777777" w:rsidTr="00D16320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4A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Molarity (nM), </w:t>
            </w: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preferred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4B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4C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16320" w:rsidRPr="00D16320" w14:paraId="18DAEC51" w14:textId="77777777" w:rsidTr="00D16320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4E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Molarity (nM), </w:t>
            </w: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 to make with NO dilution in prep to run FC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4F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50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16320" w:rsidRPr="00D16320" w14:paraId="18DAEC55" w14:textId="77777777" w:rsidTr="00D16320">
        <w:trPr>
          <w:trHeight w:val="7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52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Number of Clusters/Flowcell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53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54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1.1B</w:t>
            </w:r>
          </w:p>
        </w:tc>
      </w:tr>
      <w:tr w:rsidR="00D16320" w:rsidRPr="00D16320" w14:paraId="18DAEC59" w14:textId="77777777" w:rsidTr="00D163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56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Number of Single End Reads Per Flowcell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57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58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1.1B</w:t>
            </w:r>
          </w:p>
        </w:tc>
      </w:tr>
      <w:tr w:rsidR="00D16320" w:rsidRPr="00D16320" w14:paraId="18DAEC5D" w14:textId="77777777" w:rsidTr="00D1632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AEC5A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EC5B" w14:textId="77777777" w:rsidR="00D16320" w:rsidRPr="00D16320" w:rsidRDefault="00D16320" w:rsidP="00D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EC5C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320" w:rsidRPr="00D16320" w14:paraId="18DAEC61" w14:textId="77777777" w:rsidTr="00D1632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EC5E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EC5F" w14:textId="77777777" w:rsidR="00D16320" w:rsidRPr="00D16320" w:rsidRDefault="00D16320" w:rsidP="00D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EC60" w14:textId="77777777" w:rsidR="00D16320" w:rsidRPr="00D16320" w:rsidRDefault="00D16320" w:rsidP="00D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320" w:rsidRPr="00D16320" w14:paraId="18DAEC64" w14:textId="77777777" w:rsidTr="00D16320">
        <w:trPr>
          <w:trHeight w:val="73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EC62" w14:textId="77777777" w:rsidR="00D16320" w:rsidRPr="00D16320" w:rsidRDefault="00D16320" w:rsidP="00D1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DAEC63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Recommended Number of Samples per Pool for Each NextSeq Platform</w:t>
            </w:r>
          </w:p>
        </w:tc>
      </w:tr>
      <w:tr w:rsidR="00D16320" w:rsidRPr="00D16320" w14:paraId="18DAEC68" w14:textId="77777777" w:rsidTr="00D16320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65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Small whole-genome sequencing</w:t>
            </w: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(300 cycles) 130 Mb genome; &gt; 30× coverage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66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67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16320" w:rsidRPr="00D16320" w14:paraId="18DAEC6C" w14:textId="77777777" w:rsidTr="00D16320">
        <w:trPr>
          <w:trHeight w:val="104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69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Whole-exome sequencing</w:t>
            </w: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(200 cycles) 50× mean targeted coverage; 90% targeted coverage at 20×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6A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6B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D16320" w:rsidRPr="00D16320" w14:paraId="18DAEC70" w14:textId="77777777" w:rsidTr="00D163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6D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Shotgun Metagenomics</w:t>
            </w: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(300 cycles) 50M reads/sample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6E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6F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16320" w:rsidRPr="00D16320" w14:paraId="18DAEC74" w14:textId="77777777" w:rsidTr="00D16320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71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Single-cell RNA-Seq</w:t>
            </w: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(100 cycles) 4K cells, 50K reads/cell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72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73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16320" w:rsidRPr="00D16320" w14:paraId="18DAEC78" w14:textId="77777777" w:rsidTr="00D16320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DAEC75" w14:textId="77777777" w:rsidR="00D16320" w:rsidRPr="00D16320" w:rsidRDefault="00D16320" w:rsidP="00D1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miRNA-Seq or small RNA analysis</w:t>
            </w: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(50 cycles) 11M reads/sample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76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C77" w14:textId="77777777" w:rsidR="00D16320" w:rsidRPr="00D16320" w:rsidRDefault="00D16320" w:rsidP="00D1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63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</w:tr>
    </w:tbl>
    <w:p w14:paraId="18DAEC79" w14:textId="77777777" w:rsidR="00D16320" w:rsidRPr="006C4FB6" w:rsidRDefault="00D16320" w:rsidP="00F17209">
      <w:pPr>
        <w:rPr>
          <w:sz w:val="20"/>
          <w:szCs w:val="20"/>
        </w:rPr>
      </w:pPr>
    </w:p>
    <w:sectPr w:rsidR="00D16320" w:rsidRPr="006C4FB6" w:rsidSect="00D1632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1C2"/>
    <w:multiLevelType w:val="multilevel"/>
    <w:tmpl w:val="57E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47AF1"/>
    <w:multiLevelType w:val="multilevel"/>
    <w:tmpl w:val="772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31014"/>
    <w:multiLevelType w:val="multilevel"/>
    <w:tmpl w:val="F5E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7361F"/>
    <w:multiLevelType w:val="multilevel"/>
    <w:tmpl w:val="F7C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09"/>
    <w:rsid w:val="000667D2"/>
    <w:rsid w:val="00141DC4"/>
    <w:rsid w:val="0028397F"/>
    <w:rsid w:val="003A5C3D"/>
    <w:rsid w:val="004C1AC8"/>
    <w:rsid w:val="00566009"/>
    <w:rsid w:val="00610EAB"/>
    <w:rsid w:val="00620D62"/>
    <w:rsid w:val="00692E02"/>
    <w:rsid w:val="006C398D"/>
    <w:rsid w:val="006C4FB6"/>
    <w:rsid w:val="00817267"/>
    <w:rsid w:val="008B3DDE"/>
    <w:rsid w:val="00D16320"/>
    <w:rsid w:val="00E90491"/>
    <w:rsid w:val="00F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EBE4"/>
  <w15:chartTrackingRefBased/>
  <w15:docId w15:val="{FBB654EA-7EB7-4DD3-9B8E-84D8351C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17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2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172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0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66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nc.edu/genomics/wp-content/uploads/sites/708/2020/07/HTSF-Illumina_Sequencing_Platform_Comparison_Chart_v3_06-2020_FIN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Project_x0020_Name xmlns="44c70ffd-85a2-4b52-8863-96a89d3648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ECA1D35870469A62154D3B7AE0F2" ma:contentTypeVersion="23" ma:contentTypeDescription="Create a new document." ma:contentTypeScope="" ma:versionID="12524086b12e9ce320226276532eabfb">
  <xsd:schema xmlns:xsd="http://www.w3.org/2001/XMLSchema" xmlns:xs="http://www.w3.org/2001/XMLSchema" xmlns:p="http://schemas.microsoft.com/office/2006/metadata/properties" xmlns:ns1="http://schemas.microsoft.com/sharepoint/v3" xmlns:ns2="e373f0f2-24fe-4a62-82be-1c44103a9d1d" xmlns:ns3="44c70ffd-85a2-4b52-8863-96a89d3648f4" xmlns:ns4="ddb0525b-b874-4e39-964f-4514ae4d93f8" targetNamespace="http://schemas.microsoft.com/office/2006/metadata/properties" ma:root="true" ma:fieldsID="733123f7ef5b2ffca90efbb292174505" ns1:_="" ns2:_="" ns3:_="" ns4:_="">
    <xsd:import namespace="http://schemas.microsoft.com/sharepoint/v3"/>
    <xsd:import namespace="e373f0f2-24fe-4a62-82be-1c44103a9d1d"/>
    <xsd:import namespace="44c70ffd-85a2-4b52-8863-96a89d3648f4"/>
    <xsd:import namespace="ddb0525b-b874-4e39-964f-4514ae4d9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Project_x0020_Name" minOccurs="0"/>
                <xsd:element ref="ns1:KpiDescrip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1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3f0f2-24fe-4a62-82be-1c44103a9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fd-85a2-4b52-8863-96a89d3648f4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0" nillable="true" ma:displayName="Project Name" ma:format="Dropdown" ma:internalName="Project_x0020_Name">
      <xsd:simpleType>
        <xsd:restriction base="dms:Choice">
          <xsd:enumeration value="Anesthesiology"/>
          <xsd:enumeration value="App Portfolio"/>
          <xsd:enumeration value="Dashboards"/>
          <xsd:enumeration value="Email App"/>
          <xsd:enumeration value="Governance"/>
          <xsd:enumeration value="MD Program Curriculum"/>
          <xsd:enumeration value="Midwifery"/>
          <xsd:enumeration value="OIS"/>
          <xsd:enumeration value="Physicians Benefits"/>
          <xsd:enumeration value="PowerApps"/>
          <xsd:enumeration value="Project Management Office"/>
          <xsd:enumeration value="Resident Home Page"/>
          <xsd:enumeration value="Resident Rotation Pages"/>
          <xsd:enumeration value="Resident Site Navigation"/>
          <xsd:enumeration value="SharePoint Architecture"/>
          <xsd:enumeration value="SharePoint Governance for IT"/>
          <xsd:enumeration value="SharePoint Governance for Users"/>
          <xsd:enumeration value="SharePoint Tutorials"/>
          <xsd:enumeration value="SOM Navigation"/>
          <xsd:enumeration value="Sub sub-site Restruc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525b-b874-4e39-964f-4514ae4d9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89DB1-63C3-4896-AA80-271A381A85F9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44c70ffd-85a2-4b52-8863-96a89d3648f4"/>
    <ds:schemaRef ds:uri="ddb0525b-b874-4e39-964f-4514ae4d93f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373f0f2-24fe-4a62-82be-1c44103a9d1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E295CB-3641-4EA5-AD5F-0D43B6F96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67BDB-63B6-47B0-8A36-FD7A874C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3f0f2-24fe-4a62-82be-1c44103a9d1d"/>
    <ds:schemaRef ds:uri="44c70ffd-85a2-4b52-8863-96a89d3648f4"/>
    <ds:schemaRef ds:uri="ddb0525b-b874-4e39-964f-4514ae4d9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Koenig, Erik Arthur</cp:lastModifiedBy>
  <cp:revision>5</cp:revision>
  <cp:lastPrinted>2022-01-19T03:14:00Z</cp:lastPrinted>
  <dcterms:created xsi:type="dcterms:W3CDTF">2022-01-19T03:17:00Z</dcterms:created>
  <dcterms:modified xsi:type="dcterms:W3CDTF">2022-02-15T16:14:00Z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0x010100C308ECA1D35870469A62154D3B7AE0F2</vt:lpwstr>
  </property>
</Properties>
</file>