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AC0104" w14:textId="77777777" w:rsidR="004F5BA9" w:rsidRPr="00557065" w:rsidRDefault="000B60AB" w:rsidP="009826C5">
      <w:pPr>
        <w:jc w:val="both"/>
        <w:rPr>
          <w:rFonts w:ascii="Arial" w:hAnsi="Arial" w:cs="Arial"/>
          <w:b/>
          <w:noProof/>
          <w:spacing w:val="60"/>
          <w:sz w:val="20"/>
          <w:szCs w:val="16"/>
          <w:lang w:eastAsia="zh-TW"/>
        </w:rPr>
      </w:pPr>
      <w:r>
        <w:rPr>
          <w:rFonts w:ascii="Arial" w:hAnsi="Arial" w:cs="Arial"/>
          <w:b/>
          <w:noProof/>
          <w:spacing w:val="60"/>
          <w:sz w:val="20"/>
          <w:szCs w:val="16"/>
          <w:lang w:eastAsia="zh-TW"/>
        </w:rPr>
        <w:t>UNC MEDICAL CENTER</w:t>
      </w:r>
      <w:r w:rsidR="00557065" w:rsidRPr="00557065">
        <w:rPr>
          <w:rFonts w:ascii="Arial" w:hAnsi="Arial" w:cs="Arial"/>
          <w:b/>
          <w:noProof/>
          <w:spacing w:val="60"/>
          <w:sz w:val="20"/>
          <w:szCs w:val="16"/>
          <w:lang w:eastAsia="zh-TW"/>
        </w:rPr>
        <w:t xml:space="preserve"> GUIDELINE</w:t>
      </w:r>
    </w:p>
    <w:p w14:paraId="0DAFBEEA" w14:textId="54CDEA03" w:rsidR="00557065" w:rsidRDefault="006C73C3" w:rsidP="009826C5">
      <w:pPr>
        <w:jc w:val="both"/>
        <w:rPr>
          <w:rFonts w:ascii="Arial" w:hAnsi="Arial" w:cs="Arial"/>
          <w:b/>
          <w:sz w:val="36"/>
        </w:rPr>
      </w:pPr>
      <w:r>
        <w:rPr>
          <w:rFonts w:ascii="Arial" w:hAnsi="Arial" w:cs="Arial"/>
          <w:b/>
          <w:sz w:val="36"/>
        </w:rPr>
        <w:t xml:space="preserve">Calcineurin Inhibitors </w:t>
      </w:r>
      <w:r w:rsidR="0092537A">
        <w:rPr>
          <w:rFonts w:ascii="Arial" w:hAnsi="Arial" w:cs="Arial"/>
          <w:b/>
          <w:sz w:val="36"/>
        </w:rPr>
        <w:t>in Severe Colitis</w:t>
      </w:r>
    </w:p>
    <w:p w14:paraId="40531169" w14:textId="017D61C0" w:rsidR="008777DD" w:rsidRDefault="008777DD" w:rsidP="008777DD">
      <w:pPr>
        <w:spacing w:line="360" w:lineRule="auto"/>
        <w:jc w:val="both"/>
        <w:rPr>
          <w:rFonts w:ascii="Arial" w:hAnsi="Arial" w:cs="Arial"/>
          <w:b/>
          <w:spacing w:val="60"/>
          <w:sz w:val="20"/>
          <w:szCs w:val="20"/>
        </w:rPr>
      </w:pPr>
      <w:r>
        <w:rPr>
          <w:rFonts w:ascii="Arial" w:hAnsi="Arial" w:cs="Arial"/>
          <w:b/>
          <w:spacing w:val="60"/>
          <w:sz w:val="20"/>
          <w:szCs w:val="20"/>
        </w:rPr>
        <w:t>Introduction and Overview</w:t>
      </w:r>
    </w:p>
    <w:p w14:paraId="2A3BBCEC" w14:textId="6C60C26E" w:rsidR="0092537A" w:rsidRPr="008777DD" w:rsidRDefault="006C73C3" w:rsidP="008777DD">
      <w:pPr>
        <w:spacing w:line="360" w:lineRule="auto"/>
        <w:jc w:val="both"/>
        <w:rPr>
          <w:rFonts w:ascii="Arial" w:hAnsi="Arial" w:cs="Arial"/>
          <w:sz w:val="20"/>
          <w:szCs w:val="20"/>
        </w:rPr>
      </w:pPr>
      <w:r w:rsidRPr="008777DD">
        <w:rPr>
          <w:rFonts w:ascii="Arial" w:hAnsi="Arial" w:cs="Arial"/>
          <w:sz w:val="20"/>
          <w:szCs w:val="20"/>
        </w:rPr>
        <w:t xml:space="preserve">Calcineurin inhibitors (cyclosporine, tacrolimus) </w:t>
      </w:r>
      <w:r w:rsidR="0092537A" w:rsidRPr="008777DD">
        <w:rPr>
          <w:rFonts w:ascii="Arial" w:hAnsi="Arial" w:cs="Arial"/>
          <w:sz w:val="20"/>
          <w:szCs w:val="20"/>
        </w:rPr>
        <w:t xml:space="preserve">may be used as an alternative or as an adjunct to antimetabolite therapy for severe or refractory inflammatory bowel disease. Specifically, patients with severe steroid- refractory colitis, fistulous Crohn’s disease, and refractory proctosigmoiditis may benefit from </w:t>
      </w:r>
      <w:r w:rsidRPr="008777DD">
        <w:rPr>
          <w:rFonts w:ascii="Arial" w:hAnsi="Arial" w:cs="Arial"/>
          <w:sz w:val="20"/>
          <w:szCs w:val="20"/>
        </w:rPr>
        <w:t xml:space="preserve">calcineurin inhibitor </w:t>
      </w:r>
      <w:r w:rsidR="0092537A" w:rsidRPr="008777DD">
        <w:rPr>
          <w:rFonts w:ascii="Arial" w:hAnsi="Arial" w:cs="Arial"/>
          <w:sz w:val="20"/>
          <w:szCs w:val="20"/>
        </w:rPr>
        <w:t xml:space="preserve">therapy. It may also be helpful for corticosteroid-sparing in patients with Crohn’s disease or used as a bridge to surgery. </w:t>
      </w:r>
      <w:r w:rsidR="00694A3C">
        <w:rPr>
          <w:rFonts w:ascii="Arial" w:hAnsi="Arial" w:cs="Arial"/>
          <w:sz w:val="20"/>
          <w:szCs w:val="20"/>
        </w:rPr>
        <w:t>C</w:t>
      </w:r>
      <w:r w:rsidRPr="008777DD">
        <w:rPr>
          <w:rFonts w:ascii="Arial" w:hAnsi="Arial" w:cs="Arial"/>
          <w:sz w:val="20"/>
          <w:szCs w:val="20"/>
        </w:rPr>
        <w:t xml:space="preserve">alcineurin inhibitors </w:t>
      </w:r>
      <w:r w:rsidR="0092537A" w:rsidRPr="008777DD">
        <w:rPr>
          <w:rFonts w:ascii="Arial" w:hAnsi="Arial" w:cs="Arial"/>
          <w:sz w:val="20"/>
          <w:szCs w:val="20"/>
        </w:rPr>
        <w:t xml:space="preserve">act by inhibiting production of interleukin-2 by activated T-lymphocytes. </w:t>
      </w:r>
      <w:r w:rsidRPr="008777DD">
        <w:rPr>
          <w:rFonts w:ascii="Arial" w:hAnsi="Arial" w:cs="Arial"/>
          <w:sz w:val="20"/>
          <w:szCs w:val="20"/>
        </w:rPr>
        <w:t xml:space="preserve">They </w:t>
      </w:r>
      <w:r w:rsidR="0092537A" w:rsidRPr="008777DD">
        <w:rPr>
          <w:rFonts w:ascii="Arial" w:hAnsi="Arial" w:cs="Arial"/>
          <w:sz w:val="20"/>
          <w:szCs w:val="20"/>
        </w:rPr>
        <w:t>also down-regulate the synthesis of other inflammatory cytokines.</w:t>
      </w:r>
    </w:p>
    <w:p w14:paraId="6D242EC6" w14:textId="04F4952A" w:rsidR="007459EC" w:rsidRPr="008777DD" w:rsidRDefault="007459EC" w:rsidP="008777DD">
      <w:pPr>
        <w:spacing w:line="360" w:lineRule="auto"/>
        <w:jc w:val="both"/>
        <w:rPr>
          <w:rFonts w:ascii="Arial" w:hAnsi="Arial" w:cs="Arial"/>
          <w:sz w:val="20"/>
          <w:szCs w:val="20"/>
        </w:rPr>
      </w:pPr>
      <w:r w:rsidRPr="008777DD">
        <w:rPr>
          <w:rFonts w:ascii="Arial" w:hAnsi="Arial" w:cs="Arial"/>
          <w:sz w:val="20"/>
          <w:szCs w:val="20"/>
        </w:rPr>
        <w:t>A multicenter, cohort study</w:t>
      </w:r>
      <w:r w:rsidR="008777DD">
        <w:rPr>
          <w:rFonts w:ascii="Arial" w:hAnsi="Arial" w:cs="Arial"/>
          <w:sz w:val="20"/>
          <w:szCs w:val="20"/>
        </w:rPr>
        <w:t>,</w:t>
      </w:r>
      <w:r w:rsidRPr="008777DD">
        <w:rPr>
          <w:rFonts w:ascii="Arial" w:hAnsi="Arial" w:cs="Arial"/>
          <w:sz w:val="20"/>
          <w:szCs w:val="20"/>
        </w:rPr>
        <w:t xml:space="preserve"> which included 740 patients with steroid-refractory acute ulcerative </w:t>
      </w:r>
      <w:r w:rsidR="008777DD">
        <w:rPr>
          <w:rFonts w:ascii="Arial" w:hAnsi="Arial" w:cs="Arial"/>
          <w:sz w:val="20"/>
          <w:szCs w:val="20"/>
        </w:rPr>
        <w:t>coliti</w:t>
      </w:r>
      <w:r w:rsidRPr="008777DD">
        <w:rPr>
          <w:rFonts w:ascii="Arial" w:hAnsi="Arial" w:cs="Arial"/>
          <w:sz w:val="20"/>
          <w:szCs w:val="20"/>
        </w:rPr>
        <w:t>s</w:t>
      </w:r>
      <w:r w:rsidR="008777DD">
        <w:rPr>
          <w:rFonts w:ascii="Arial" w:hAnsi="Arial" w:cs="Arial"/>
          <w:sz w:val="20"/>
          <w:szCs w:val="20"/>
        </w:rPr>
        <w:t>,</w:t>
      </w:r>
      <w:r w:rsidRPr="008777DD">
        <w:rPr>
          <w:rFonts w:ascii="Arial" w:hAnsi="Arial" w:cs="Arial"/>
          <w:sz w:val="20"/>
          <w:szCs w:val="20"/>
        </w:rPr>
        <w:t xml:space="preserve"> compar</w:t>
      </w:r>
      <w:r w:rsidR="008777DD">
        <w:rPr>
          <w:rFonts w:ascii="Arial" w:hAnsi="Arial" w:cs="Arial"/>
          <w:sz w:val="20"/>
          <w:szCs w:val="20"/>
        </w:rPr>
        <w:t>ed</w:t>
      </w:r>
      <w:r w:rsidRPr="008777DD">
        <w:rPr>
          <w:rFonts w:ascii="Arial" w:hAnsi="Arial" w:cs="Arial"/>
          <w:sz w:val="20"/>
          <w:szCs w:val="20"/>
        </w:rPr>
        <w:t xml:space="preserve"> intravenous cyclosporine and infliximab regarding clinical efficacy and adverse events. The results of this study showed no significant differences in clinical efficacy and colectomy rates, but a lower incidence of adverse react</w:t>
      </w:r>
      <w:r w:rsidR="000100F3" w:rsidRPr="008777DD">
        <w:rPr>
          <w:rFonts w:ascii="Arial" w:hAnsi="Arial" w:cs="Arial"/>
          <w:sz w:val="20"/>
          <w:szCs w:val="20"/>
        </w:rPr>
        <w:t>ions.</w:t>
      </w:r>
      <w:r w:rsidR="000100F3" w:rsidRPr="008777DD">
        <w:rPr>
          <w:rFonts w:ascii="Arial" w:hAnsi="Arial" w:cs="Arial"/>
          <w:sz w:val="20"/>
          <w:szCs w:val="20"/>
          <w:vertAlign w:val="superscript"/>
        </w:rPr>
        <w:t xml:space="preserve">1 </w:t>
      </w:r>
      <w:r w:rsidR="000100F3" w:rsidRPr="008777DD">
        <w:rPr>
          <w:rFonts w:ascii="Arial" w:hAnsi="Arial" w:cs="Arial"/>
          <w:sz w:val="20"/>
          <w:szCs w:val="20"/>
        </w:rPr>
        <w:t>This was consistent with the CONSTRUCT study, an open-label, randomized trial</w:t>
      </w:r>
      <w:r w:rsidR="008777DD">
        <w:rPr>
          <w:rFonts w:ascii="Arial" w:hAnsi="Arial" w:cs="Arial"/>
          <w:sz w:val="20"/>
          <w:szCs w:val="20"/>
        </w:rPr>
        <w:t>,</w:t>
      </w:r>
      <w:r w:rsidR="000100F3" w:rsidRPr="008777DD">
        <w:rPr>
          <w:rFonts w:ascii="Arial" w:hAnsi="Arial" w:cs="Arial"/>
          <w:sz w:val="20"/>
          <w:szCs w:val="20"/>
        </w:rPr>
        <w:t xml:space="preserve"> </w:t>
      </w:r>
      <w:r w:rsidR="008777DD">
        <w:rPr>
          <w:rFonts w:ascii="Arial" w:hAnsi="Arial" w:cs="Arial"/>
          <w:sz w:val="20"/>
          <w:szCs w:val="20"/>
        </w:rPr>
        <w:t xml:space="preserve">which </w:t>
      </w:r>
      <w:r w:rsidR="000100F3" w:rsidRPr="008777DD">
        <w:rPr>
          <w:rFonts w:ascii="Arial" w:hAnsi="Arial" w:cs="Arial"/>
          <w:sz w:val="20"/>
          <w:szCs w:val="20"/>
        </w:rPr>
        <w:t>found no significant differences between cyclosporine and infliximab in colectomy rates, adverse reactions, or mortality in the treatment of ulcerative colitis.</w:t>
      </w:r>
      <w:r w:rsidR="000100F3" w:rsidRPr="008777DD">
        <w:rPr>
          <w:rFonts w:ascii="Arial" w:hAnsi="Arial" w:cs="Arial"/>
          <w:sz w:val="20"/>
          <w:szCs w:val="20"/>
          <w:vertAlign w:val="superscript"/>
        </w:rPr>
        <w:t>2</w:t>
      </w:r>
      <w:r w:rsidR="000100F3" w:rsidRPr="008777DD">
        <w:rPr>
          <w:rFonts w:ascii="Arial" w:hAnsi="Arial" w:cs="Arial"/>
          <w:sz w:val="20"/>
          <w:szCs w:val="20"/>
        </w:rPr>
        <w:t xml:space="preserve"> </w:t>
      </w:r>
      <w:r w:rsidRPr="008777DD">
        <w:rPr>
          <w:rFonts w:ascii="Arial" w:hAnsi="Arial" w:cs="Arial"/>
          <w:sz w:val="20"/>
          <w:szCs w:val="20"/>
        </w:rPr>
        <w:t xml:space="preserve">Oral tacrolimus has been used as an alternative to intravenous cyclosporine for moderate to severe ulcerative colitis. </w:t>
      </w:r>
      <w:r w:rsidR="00094FAB" w:rsidRPr="008777DD">
        <w:rPr>
          <w:rFonts w:ascii="Arial" w:hAnsi="Arial" w:cs="Arial"/>
          <w:sz w:val="20"/>
          <w:szCs w:val="20"/>
        </w:rPr>
        <w:t xml:space="preserve">A short-term placebo-controlled, double-blind study </w:t>
      </w:r>
      <w:r w:rsidR="008777DD">
        <w:rPr>
          <w:rFonts w:ascii="Arial" w:hAnsi="Arial" w:cs="Arial"/>
          <w:sz w:val="20"/>
          <w:szCs w:val="20"/>
        </w:rPr>
        <w:t>e</w:t>
      </w:r>
      <w:r w:rsidR="00094FAB" w:rsidRPr="008777DD">
        <w:rPr>
          <w:rFonts w:ascii="Arial" w:hAnsi="Arial" w:cs="Arial"/>
          <w:sz w:val="20"/>
          <w:szCs w:val="20"/>
        </w:rPr>
        <w:t xml:space="preserve">nrolled 62 patients with steroid-refractory moderate to severe active ulcerative colitis. Evaluation of Disease Activity Index (DAI) and mucosal healing demonstrated significant clinical improvement </w:t>
      </w:r>
      <w:r w:rsidR="00142E73" w:rsidRPr="008777DD">
        <w:rPr>
          <w:rFonts w:ascii="Arial" w:hAnsi="Arial" w:cs="Arial"/>
          <w:sz w:val="20"/>
          <w:szCs w:val="20"/>
        </w:rPr>
        <w:t>and mucosal healing with minimal side effects.</w:t>
      </w:r>
      <w:r w:rsidR="000100F3" w:rsidRPr="008777DD">
        <w:rPr>
          <w:rFonts w:ascii="Arial" w:hAnsi="Arial" w:cs="Arial"/>
          <w:sz w:val="20"/>
          <w:szCs w:val="20"/>
          <w:vertAlign w:val="superscript"/>
        </w:rPr>
        <w:t>3</w:t>
      </w:r>
      <w:r w:rsidR="00142E73" w:rsidRPr="008777DD">
        <w:rPr>
          <w:rFonts w:ascii="Arial" w:hAnsi="Arial" w:cs="Arial"/>
          <w:sz w:val="20"/>
          <w:szCs w:val="20"/>
          <w:vertAlign w:val="superscript"/>
        </w:rPr>
        <w:t xml:space="preserve"> </w:t>
      </w:r>
    </w:p>
    <w:p w14:paraId="3FA9F436" w14:textId="40D43D88" w:rsidR="002A0933" w:rsidRPr="002A0933" w:rsidRDefault="002A0933" w:rsidP="008777DD">
      <w:pPr>
        <w:spacing w:line="360" w:lineRule="auto"/>
        <w:jc w:val="both"/>
        <w:rPr>
          <w:rFonts w:ascii="Arial" w:hAnsi="Arial" w:cs="Arial"/>
          <w:b/>
          <w:sz w:val="20"/>
          <w:szCs w:val="20"/>
        </w:rPr>
      </w:pPr>
      <w:r w:rsidRPr="002A0933">
        <w:rPr>
          <w:rFonts w:ascii="Arial" w:hAnsi="Arial" w:cs="Arial"/>
          <w:b/>
          <w:sz w:val="20"/>
          <w:szCs w:val="20"/>
        </w:rPr>
        <w:t>Common Adverse Effects</w:t>
      </w:r>
    </w:p>
    <w:p w14:paraId="50CB8020" w14:textId="2E31983C" w:rsidR="0092537A" w:rsidRDefault="0092537A" w:rsidP="008777DD">
      <w:pPr>
        <w:spacing w:line="360" w:lineRule="auto"/>
        <w:jc w:val="both"/>
        <w:rPr>
          <w:rFonts w:ascii="Arial" w:hAnsi="Arial" w:cs="Arial"/>
          <w:sz w:val="20"/>
          <w:szCs w:val="20"/>
        </w:rPr>
      </w:pPr>
      <w:r w:rsidRPr="008777DD">
        <w:rPr>
          <w:rFonts w:ascii="Arial" w:hAnsi="Arial" w:cs="Arial"/>
          <w:sz w:val="20"/>
          <w:szCs w:val="20"/>
        </w:rPr>
        <w:t xml:space="preserve">The most common side effects in patients treated with cyclosporine for inflammatory bowel diseases are: hypertension, </w:t>
      </w:r>
      <w:r w:rsidR="009D1288" w:rsidRPr="008777DD">
        <w:rPr>
          <w:rFonts w:ascii="Arial" w:hAnsi="Arial" w:cs="Arial"/>
          <w:sz w:val="20"/>
          <w:szCs w:val="20"/>
        </w:rPr>
        <w:t>paresthesia</w:t>
      </w:r>
      <w:r w:rsidRPr="008777DD">
        <w:rPr>
          <w:rFonts w:ascii="Arial" w:hAnsi="Arial" w:cs="Arial"/>
          <w:sz w:val="20"/>
          <w:szCs w:val="20"/>
        </w:rPr>
        <w:t xml:space="preserve">, tremors, </w:t>
      </w:r>
      <w:r w:rsidR="007459EC" w:rsidRPr="008777DD">
        <w:rPr>
          <w:rFonts w:ascii="Arial" w:hAnsi="Arial" w:cs="Arial"/>
          <w:sz w:val="20"/>
          <w:szCs w:val="20"/>
        </w:rPr>
        <w:t xml:space="preserve">infections, </w:t>
      </w:r>
      <w:r w:rsidRPr="008777DD">
        <w:rPr>
          <w:rFonts w:ascii="Arial" w:hAnsi="Arial" w:cs="Arial"/>
          <w:sz w:val="20"/>
          <w:szCs w:val="20"/>
        </w:rPr>
        <w:t>and abnormalities in magnesium, potassium,</w:t>
      </w:r>
      <w:r w:rsidR="00CD45D3" w:rsidRPr="008777DD">
        <w:rPr>
          <w:rFonts w:ascii="Arial" w:hAnsi="Arial" w:cs="Arial"/>
          <w:sz w:val="20"/>
          <w:szCs w:val="20"/>
        </w:rPr>
        <w:t xml:space="preserve"> liver function labs,</w:t>
      </w:r>
      <w:r w:rsidRPr="008777DD">
        <w:rPr>
          <w:rFonts w:ascii="Arial" w:hAnsi="Arial" w:cs="Arial"/>
          <w:sz w:val="20"/>
          <w:szCs w:val="20"/>
        </w:rPr>
        <w:t xml:space="preserve"> and serum creatinine. Low magnesium, hypocholesterolemia,</w:t>
      </w:r>
      <w:r w:rsidR="00CD45D3" w:rsidRPr="008777DD">
        <w:rPr>
          <w:rFonts w:ascii="Arial" w:hAnsi="Arial" w:cs="Arial"/>
          <w:sz w:val="20"/>
          <w:szCs w:val="20"/>
        </w:rPr>
        <w:t xml:space="preserve"> diarrhea,</w:t>
      </w:r>
      <w:r w:rsidRPr="008777DD">
        <w:rPr>
          <w:rFonts w:ascii="Arial" w:hAnsi="Arial" w:cs="Arial"/>
          <w:sz w:val="20"/>
          <w:szCs w:val="20"/>
        </w:rPr>
        <w:t xml:space="preserve"> and renal insufficiency are specific risks for drug toxicity.</w:t>
      </w:r>
      <w:r w:rsidR="006C73C3" w:rsidRPr="008777DD">
        <w:rPr>
          <w:rFonts w:ascii="Arial" w:hAnsi="Arial" w:cs="Arial"/>
          <w:sz w:val="20"/>
          <w:szCs w:val="20"/>
        </w:rPr>
        <w:t xml:space="preserve"> Tacrolimus shares many of th</w:t>
      </w:r>
      <w:r w:rsidR="00CD45D3" w:rsidRPr="008777DD">
        <w:rPr>
          <w:rFonts w:ascii="Arial" w:hAnsi="Arial" w:cs="Arial"/>
          <w:sz w:val="20"/>
          <w:szCs w:val="20"/>
        </w:rPr>
        <w:t>ese side effects but also includes hyperglycemia with prolonged use.</w:t>
      </w:r>
      <w:r w:rsidR="000100F3" w:rsidRPr="008777DD">
        <w:rPr>
          <w:rFonts w:ascii="Arial" w:hAnsi="Arial" w:cs="Arial"/>
          <w:sz w:val="20"/>
          <w:szCs w:val="20"/>
        </w:rPr>
        <w:t xml:space="preserve"> </w:t>
      </w:r>
      <w:r w:rsidRPr="008777DD">
        <w:rPr>
          <w:rFonts w:ascii="Arial" w:hAnsi="Arial" w:cs="Arial"/>
          <w:sz w:val="20"/>
          <w:szCs w:val="20"/>
        </w:rPr>
        <w:t xml:space="preserve">In addition, multiple drug interactions may occur with </w:t>
      </w:r>
      <w:r w:rsidR="00CD45D3" w:rsidRPr="008777DD">
        <w:rPr>
          <w:rFonts w:ascii="Arial" w:hAnsi="Arial" w:cs="Arial"/>
          <w:sz w:val="20"/>
          <w:szCs w:val="20"/>
        </w:rPr>
        <w:t xml:space="preserve">both </w:t>
      </w:r>
      <w:r w:rsidRPr="008777DD">
        <w:rPr>
          <w:rFonts w:ascii="Arial" w:hAnsi="Arial" w:cs="Arial"/>
          <w:sz w:val="20"/>
          <w:szCs w:val="20"/>
        </w:rPr>
        <w:t>cyclosporine</w:t>
      </w:r>
      <w:r w:rsidR="00CD45D3" w:rsidRPr="008777DD">
        <w:rPr>
          <w:rFonts w:ascii="Arial" w:hAnsi="Arial" w:cs="Arial"/>
          <w:sz w:val="20"/>
          <w:szCs w:val="20"/>
        </w:rPr>
        <w:t xml:space="preserve"> and tacrolimus</w:t>
      </w:r>
      <w:r w:rsidRPr="008777DD">
        <w:rPr>
          <w:rFonts w:ascii="Arial" w:hAnsi="Arial" w:cs="Arial"/>
          <w:sz w:val="20"/>
          <w:szCs w:val="20"/>
        </w:rPr>
        <w:t xml:space="preserve"> requiring close blood concentration monitoring and adverse effect monitoring.</w:t>
      </w:r>
    </w:p>
    <w:p w14:paraId="33F18B9E" w14:textId="50D4A32E" w:rsidR="008777DD" w:rsidRPr="008777DD" w:rsidRDefault="008777DD" w:rsidP="008777DD">
      <w:pPr>
        <w:spacing w:line="360" w:lineRule="auto"/>
        <w:jc w:val="both"/>
        <w:rPr>
          <w:rFonts w:ascii="Arial" w:hAnsi="Arial" w:cs="Arial"/>
          <w:b/>
          <w:sz w:val="20"/>
          <w:szCs w:val="20"/>
        </w:rPr>
      </w:pPr>
      <w:r>
        <w:rPr>
          <w:rFonts w:ascii="Arial" w:hAnsi="Arial" w:cs="Arial"/>
          <w:b/>
          <w:sz w:val="20"/>
          <w:szCs w:val="20"/>
        </w:rPr>
        <w:t>Cyclosporine</w:t>
      </w:r>
    </w:p>
    <w:p w14:paraId="29FF3606" w14:textId="586CE540" w:rsidR="0092537A" w:rsidRDefault="0092537A" w:rsidP="008777DD">
      <w:pPr>
        <w:spacing w:line="360" w:lineRule="auto"/>
        <w:rPr>
          <w:rFonts w:ascii="Arial" w:hAnsi="Arial" w:cs="Arial"/>
          <w:sz w:val="20"/>
          <w:szCs w:val="20"/>
        </w:rPr>
      </w:pPr>
      <w:r w:rsidRPr="008777DD">
        <w:rPr>
          <w:rFonts w:ascii="Arial" w:hAnsi="Arial" w:cs="Arial"/>
          <w:sz w:val="20"/>
          <w:szCs w:val="20"/>
        </w:rPr>
        <w:t>Cyclosporine whole blood concentrations should be maintained in an effective, non-toxic range. A double blind, randomized, controlled clinical trial in patients with severe ulcerative colitis showed that a lower dosage regimen of 2 mg/kg/24 hours was as effective as a regimen of 4 mg/kg/24 hours.</w:t>
      </w:r>
      <w:proofErr w:type="gramStart"/>
      <w:r w:rsidR="000100F3" w:rsidRPr="008777DD">
        <w:rPr>
          <w:rFonts w:ascii="Arial" w:hAnsi="Arial" w:cs="Arial"/>
          <w:sz w:val="20"/>
          <w:szCs w:val="20"/>
          <w:vertAlign w:val="superscript"/>
        </w:rPr>
        <w:t>4</w:t>
      </w:r>
      <w:r w:rsidRPr="008777DD">
        <w:rPr>
          <w:rFonts w:ascii="Arial" w:hAnsi="Arial" w:cs="Arial"/>
          <w:sz w:val="20"/>
          <w:szCs w:val="20"/>
        </w:rPr>
        <w:t xml:space="preserve"> </w:t>
      </w:r>
      <w:r w:rsidR="009D1288" w:rsidRPr="008777DD">
        <w:rPr>
          <w:rFonts w:ascii="Arial" w:hAnsi="Arial" w:cs="Arial"/>
          <w:sz w:val="20"/>
          <w:szCs w:val="20"/>
        </w:rPr>
        <w:t xml:space="preserve"> </w:t>
      </w:r>
      <w:r w:rsidRPr="008777DD">
        <w:rPr>
          <w:rFonts w:ascii="Arial" w:hAnsi="Arial" w:cs="Arial"/>
          <w:sz w:val="20"/>
          <w:szCs w:val="20"/>
        </w:rPr>
        <w:t>The</w:t>
      </w:r>
      <w:proofErr w:type="gramEnd"/>
      <w:r w:rsidRPr="008777DD">
        <w:rPr>
          <w:rFonts w:ascii="Arial" w:hAnsi="Arial" w:cs="Arial"/>
          <w:sz w:val="20"/>
          <w:szCs w:val="20"/>
        </w:rPr>
        <w:t xml:space="preserve"> side effect profile of the lower dose regimen had a lower incidence of hypertension. Serum concentration goals for this regimen are 150-250 ng/</w:t>
      </w:r>
      <w:proofErr w:type="spellStart"/>
      <w:r w:rsidRPr="008777DD">
        <w:rPr>
          <w:rFonts w:ascii="Arial" w:hAnsi="Arial" w:cs="Arial"/>
          <w:sz w:val="20"/>
          <w:szCs w:val="20"/>
        </w:rPr>
        <w:t>mL</w:t>
      </w:r>
      <w:r w:rsidR="008777DD">
        <w:rPr>
          <w:rFonts w:ascii="Arial" w:hAnsi="Arial" w:cs="Arial"/>
          <w:sz w:val="20"/>
          <w:szCs w:val="20"/>
        </w:rPr>
        <w:t>.</w:t>
      </w:r>
      <w:proofErr w:type="spellEnd"/>
      <w:r w:rsidR="00542388" w:rsidRPr="008777DD">
        <w:rPr>
          <w:rFonts w:ascii="Arial" w:hAnsi="Arial" w:cs="Arial"/>
          <w:sz w:val="20"/>
          <w:szCs w:val="20"/>
        </w:rPr>
        <w:t xml:space="preserve"> </w:t>
      </w:r>
      <w:r w:rsidR="009D1288" w:rsidRPr="008777DD">
        <w:rPr>
          <w:rFonts w:ascii="Arial" w:hAnsi="Arial" w:cs="Arial"/>
          <w:color w:val="000000" w:themeColor="text1"/>
          <w:sz w:val="20"/>
          <w:szCs w:val="20"/>
        </w:rPr>
        <w:t xml:space="preserve">In a comparative randomized, parallel, open label trial with infliximab, </w:t>
      </w:r>
      <w:r w:rsidR="009D1288" w:rsidRPr="008777DD">
        <w:rPr>
          <w:rFonts w:ascii="Arial" w:hAnsi="Arial" w:cs="Arial"/>
          <w:color w:val="000000" w:themeColor="text1"/>
          <w:sz w:val="20"/>
          <w:szCs w:val="20"/>
        </w:rPr>
        <w:lastRenderedPageBreak/>
        <w:t>doses were adjusted to maintain concentrations in a range of 150-250 ng/ml which is consistent with the 2003 dosing trial.</w:t>
      </w:r>
      <w:r w:rsidR="0038464E" w:rsidRPr="008777DD">
        <w:rPr>
          <w:rFonts w:ascii="Arial" w:hAnsi="Arial" w:cs="Arial"/>
          <w:color w:val="000000" w:themeColor="text1"/>
          <w:sz w:val="20"/>
          <w:szCs w:val="20"/>
          <w:vertAlign w:val="superscript"/>
        </w:rPr>
        <w:t>5</w:t>
      </w:r>
      <w:r w:rsidR="009D1288" w:rsidRPr="008777DD">
        <w:rPr>
          <w:rFonts w:ascii="Arial" w:hAnsi="Arial" w:cs="Arial"/>
          <w:color w:val="FF0000"/>
          <w:sz w:val="20"/>
          <w:szCs w:val="20"/>
        </w:rPr>
        <w:t xml:space="preserve"> </w:t>
      </w:r>
      <w:r w:rsidRPr="008777DD">
        <w:rPr>
          <w:rFonts w:ascii="Arial" w:hAnsi="Arial" w:cs="Arial"/>
          <w:sz w:val="20"/>
          <w:szCs w:val="20"/>
        </w:rPr>
        <w:t xml:space="preserve">Thus, keeping steady-state concentrations between </w:t>
      </w:r>
      <w:r w:rsidR="00B25856" w:rsidRPr="008777DD">
        <w:rPr>
          <w:rFonts w:ascii="Arial" w:hAnsi="Arial" w:cs="Arial"/>
          <w:sz w:val="20"/>
          <w:szCs w:val="20"/>
        </w:rPr>
        <w:t xml:space="preserve">150-250 </w:t>
      </w:r>
      <w:r w:rsidRPr="008777DD">
        <w:rPr>
          <w:rFonts w:ascii="Arial" w:hAnsi="Arial" w:cs="Arial"/>
          <w:sz w:val="20"/>
          <w:szCs w:val="20"/>
        </w:rPr>
        <w:t>ng/mL may be warranted to serve as a guideline to minimize toxicity.</w:t>
      </w:r>
    </w:p>
    <w:p w14:paraId="1CE06EF0" w14:textId="340220F6" w:rsidR="008777DD" w:rsidRPr="008777DD" w:rsidRDefault="008777DD" w:rsidP="008777DD">
      <w:pPr>
        <w:spacing w:line="360" w:lineRule="auto"/>
        <w:rPr>
          <w:rFonts w:ascii="Arial" w:hAnsi="Arial" w:cs="Arial"/>
          <w:b/>
          <w:sz w:val="20"/>
          <w:szCs w:val="20"/>
        </w:rPr>
      </w:pPr>
      <w:r w:rsidRPr="008777DD">
        <w:rPr>
          <w:rFonts w:ascii="Arial" w:hAnsi="Arial" w:cs="Arial"/>
          <w:b/>
          <w:sz w:val="20"/>
          <w:szCs w:val="20"/>
        </w:rPr>
        <w:t>Tacrolimus</w:t>
      </w:r>
    </w:p>
    <w:p w14:paraId="27643C25" w14:textId="757272BF" w:rsidR="0092537A" w:rsidRPr="008777DD" w:rsidRDefault="00225735" w:rsidP="008777DD">
      <w:pPr>
        <w:spacing w:line="360" w:lineRule="auto"/>
        <w:jc w:val="both"/>
        <w:rPr>
          <w:rFonts w:ascii="Arial" w:hAnsi="Arial" w:cs="Arial"/>
          <w:sz w:val="20"/>
          <w:szCs w:val="20"/>
        </w:rPr>
      </w:pPr>
      <w:r w:rsidRPr="008777DD">
        <w:rPr>
          <w:rFonts w:ascii="Arial" w:hAnsi="Arial" w:cs="Arial"/>
          <w:sz w:val="20"/>
          <w:szCs w:val="20"/>
        </w:rPr>
        <w:t xml:space="preserve">Tacrolimus </w:t>
      </w:r>
      <w:r w:rsidR="00D5743B" w:rsidRPr="008777DD">
        <w:rPr>
          <w:rFonts w:ascii="Arial" w:hAnsi="Arial" w:cs="Arial"/>
          <w:sz w:val="20"/>
          <w:szCs w:val="20"/>
        </w:rPr>
        <w:t>dosing in the majority of studies utilized an initial regimen of 0.05m</w:t>
      </w:r>
      <w:r w:rsidR="008777DD">
        <w:rPr>
          <w:rFonts w:ascii="Arial" w:hAnsi="Arial" w:cs="Arial"/>
          <w:sz w:val="20"/>
          <w:szCs w:val="20"/>
        </w:rPr>
        <w:t>g/kg orally twice daily</w:t>
      </w:r>
      <w:r w:rsidR="00D5743B" w:rsidRPr="008777DD">
        <w:rPr>
          <w:rFonts w:ascii="Arial" w:hAnsi="Arial" w:cs="Arial"/>
          <w:sz w:val="20"/>
          <w:szCs w:val="20"/>
        </w:rPr>
        <w:t xml:space="preserve"> with an induc</w:t>
      </w:r>
      <w:r w:rsidR="008777DD">
        <w:rPr>
          <w:rFonts w:ascii="Arial" w:hAnsi="Arial" w:cs="Arial"/>
          <w:sz w:val="20"/>
          <w:szCs w:val="20"/>
        </w:rPr>
        <w:t>tion trough range of 10-15 ng/mL</w:t>
      </w:r>
      <w:r w:rsidR="00D5743B" w:rsidRPr="008777DD">
        <w:rPr>
          <w:rFonts w:ascii="Arial" w:hAnsi="Arial" w:cs="Arial"/>
          <w:sz w:val="20"/>
          <w:szCs w:val="20"/>
        </w:rPr>
        <w:t xml:space="preserve"> for first 14 days, followed by a maintenance trough range of 5-10 ng/m</w:t>
      </w:r>
      <w:r w:rsidR="008777DD">
        <w:rPr>
          <w:rFonts w:ascii="Arial" w:hAnsi="Arial" w:cs="Arial"/>
          <w:sz w:val="20"/>
          <w:szCs w:val="20"/>
        </w:rPr>
        <w:t>L</w:t>
      </w:r>
      <w:r w:rsidR="00D5743B" w:rsidRPr="008777DD">
        <w:rPr>
          <w:rFonts w:ascii="Arial" w:hAnsi="Arial" w:cs="Arial"/>
          <w:sz w:val="20"/>
          <w:szCs w:val="20"/>
        </w:rPr>
        <w:t>.</w:t>
      </w:r>
      <w:r w:rsidR="0038464E" w:rsidRPr="008777DD">
        <w:rPr>
          <w:rFonts w:ascii="Arial" w:hAnsi="Arial" w:cs="Arial"/>
          <w:sz w:val="20"/>
          <w:szCs w:val="20"/>
          <w:vertAlign w:val="superscript"/>
        </w:rPr>
        <w:t>3,6,7,8</w:t>
      </w:r>
      <w:r w:rsidR="008777DD">
        <w:rPr>
          <w:rFonts w:ascii="Arial" w:hAnsi="Arial" w:cs="Arial"/>
          <w:sz w:val="20"/>
          <w:szCs w:val="20"/>
          <w:vertAlign w:val="superscript"/>
        </w:rPr>
        <w:t xml:space="preserve"> </w:t>
      </w:r>
      <w:r w:rsidR="0092537A" w:rsidRPr="008777DD">
        <w:rPr>
          <w:rFonts w:ascii="Arial" w:hAnsi="Arial" w:cs="Arial"/>
          <w:sz w:val="20"/>
          <w:szCs w:val="20"/>
        </w:rPr>
        <w:t>The following dosing and monitoring guidelines seek to optimize cyclosporine</w:t>
      </w:r>
      <w:r w:rsidRPr="008777DD">
        <w:rPr>
          <w:rFonts w:ascii="Arial" w:hAnsi="Arial" w:cs="Arial"/>
          <w:sz w:val="20"/>
          <w:szCs w:val="20"/>
        </w:rPr>
        <w:t xml:space="preserve"> and tacrolimus</w:t>
      </w:r>
      <w:r w:rsidR="0092537A" w:rsidRPr="008777DD">
        <w:rPr>
          <w:rFonts w:ascii="Arial" w:hAnsi="Arial" w:cs="Arial"/>
          <w:sz w:val="20"/>
          <w:szCs w:val="20"/>
        </w:rPr>
        <w:t xml:space="preserve"> </w:t>
      </w:r>
      <w:proofErr w:type="gramStart"/>
      <w:r w:rsidR="0092537A" w:rsidRPr="008777DD">
        <w:rPr>
          <w:rFonts w:ascii="Arial" w:hAnsi="Arial" w:cs="Arial"/>
          <w:sz w:val="20"/>
          <w:szCs w:val="20"/>
        </w:rPr>
        <w:t xml:space="preserve">therapy, </w:t>
      </w:r>
      <w:r w:rsidRPr="008777DD">
        <w:rPr>
          <w:rFonts w:ascii="Arial" w:hAnsi="Arial" w:cs="Arial"/>
          <w:sz w:val="20"/>
          <w:szCs w:val="20"/>
        </w:rPr>
        <w:t xml:space="preserve"> </w:t>
      </w:r>
      <w:r w:rsidR="0092537A" w:rsidRPr="008777DD">
        <w:rPr>
          <w:rFonts w:ascii="Arial" w:hAnsi="Arial" w:cs="Arial"/>
          <w:sz w:val="20"/>
          <w:szCs w:val="20"/>
        </w:rPr>
        <w:t>and</w:t>
      </w:r>
      <w:proofErr w:type="gramEnd"/>
      <w:r w:rsidR="0092537A" w:rsidRPr="008777DD">
        <w:rPr>
          <w:rFonts w:ascii="Arial" w:hAnsi="Arial" w:cs="Arial"/>
          <w:sz w:val="20"/>
          <w:szCs w:val="20"/>
        </w:rPr>
        <w:t xml:space="preserve"> to reduce risks of adverse side effects for cyclosporine.</w:t>
      </w:r>
    </w:p>
    <w:p w14:paraId="4B642BBC" w14:textId="77777777" w:rsidR="0092537A" w:rsidRDefault="0092537A" w:rsidP="009826C5">
      <w:pPr>
        <w:spacing w:line="360" w:lineRule="auto"/>
        <w:jc w:val="both"/>
        <w:rPr>
          <w:rFonts w:ascii="Arial" w:hAnsi="Arial" w:cs="Arial"/>
          <w:b/>
          <w:spacing w:val="60"/>
          <w:sz w:val="20"/>
          <w:szCs w:val="20"/>
        </w:rPr>
      </w:pPr>
      <w:r w:rsidRPr="0092537A">
        <w:rPr>
          <w:rFonts w:ascii="Arial" w:hAnsi="Arial" w:cs="Arial"/>
          <w:b/>
          <w:spacing w:val="60"/>
          <w:sz w:val="20"/>
          <w:szCs w:val="20"/>
        </w:rPr>
        <w:t>BASELINE LABORATORY MEASUREMENTS</w:t>
      </w:r>
    </w:p>
    <w:p w14:paraId="5CEEB266" w14:textId="77777777" w:rsidR="0092537A" w:rsidRPr="008777DD" w:rsidRDefault="0092537A" w:rsidP="008777DD">
      <w:pPr>
        <w:pStyle w:val="ListParagraph"/>
        <w:numPr>
          <w:ilvl w:val="0"/>
          <w:numId w:val="8"/>
        </w:numPr>
        <w:spacing w:line="360" w:lineRule="auto"/>
        <w:jc w:val="both"/>
        <w:rPr>
          <w:rFonts w:ascii="Arial" w:hAnsi="Arial" w:cs="Arial"/>
          <w:sz w:val="20"/>
          <w:szCs w:val="20"/>
        </w:rPr>
      </w:pPr>
      <w:r w:rsidRPr="008777DD">
        <w:rPr>
          <w:rFonts w:ascii="Arial" w:hAnsi="Arial" w:cs="Arial"/>
          <w:sz w:val="20"/>
          <w:szCs w:val="20"/>
        </w:rPr>
        <w:t>Serum chemistries: sodium, potassium, chloride, bicarbonate, blood urea nitrogen, creatinine, glucose, calcium, magnesium and phosphorus</w:t>
      </w:r>
    </w:p>
    <w:p w14:paraId="4C3ECA7F" w14:textId="77777777" w:rsidR="0092537A" w:rsidRPr="008777DD" w:rsidRDefault="0092537A" w:rsidP="008777DD">
      <w:pPr>
        <w:pStyle w:val="ListParagraph"/>
        <w:numPr>
          <w:ilvl w:val="0"/>
          <w:numId w:val="8"/>
        </w:numPr>
        <w:spacing w:line="360" w:lineRule="auto"/>
        <w:jc w:val="both"/>
        <w:rPr>
          <w:rFonts w:ascii="Arial" w:hAnsi="Arial" w:cs="Arial"/>
          <w:sz w:val="20"/>
          <w:szCs w:val="20"/>
        </w:rPr>
      </w:pPr>
      <w:r w:rsidRPr="008777DD">
        <w:rPr>
          <w:rFonts w:ascii="Arial" w:hAnsi="Arial" w:cs="Arial"/>
          <w:sz w:val="20"/>
          <w:szCs w:val="20"/>
        </w:rPr>
        <w:t>Liver function tests</w:t>
      </w:r>
    </w:p>
    <w:p w14:paraId="1FEB4301" w14:textId="77777777" w:rsidR="0092537A" w:rsidRPr="008777DD" w:rsidRDefault="0092537A" w:rsidP="008777DD">
      <w:pPr>
        <w:pStyle w:val="ListParagraph"/>
        <w:numPr>
          <w:ilvl w:val="0"/>
          <w:numId w:val="8"/>
        </w:numPr>
        <w:spacing w:line="360" w:lineRule="auto"/>
        <w:jc w:val="both"/>
        <w:rPr>
          <w:rFonts w:ascii="Arial" w:hAnsi="Arial" w:cs="Arial"/>
          <w:sz w:val="20"/>
          <w:szCs w:val="20"/>
        </w:rPr>
      </w:pPr>
      <w:r w:rsidRPr="008777DD">
        <w:rPr>
          <w:rFonts w:ascii="Arial" w:hAnsi="Arial" w:cs="Arial"/>
          <w:sz w:val="20"/>
          <w:szCs w:val="20"/>
        </w:rPr>
        <w:t>Cholesterol</w:t>
      </w:r>
    </w:p>
    <w:p w14:paraId="1F76412D" w14:textId="67D3CEC6" w:rsidR="0092537A" w:rsidRPr="008777DD" w:rsidRDefault="0092537A" w:rsidP="008777DD">
      <w:pPr>
        <w:pStyle w:val="ListParagraph"/>
        <w:numPr>
          <w:ilvl w:val="0"/>
          <w:numId w:val="8"/>
        </w:numPr>
        <w:spacing w:line="360" w:lineRule="auto"/>
        <w:jc w:val="both"/>
        <w:rPr>
          <w:rFonts w:ascii="Arial" w:hAnsi="Arial" w:cs="Arial"/>
          <w:sz w:val="20"/>
          <w:szCs w:val="20"/>
        </w:rPr>
      </w:pPr>
      <w:r w:rsidRPr="008777DD">
        <w:rPr>
          <w:rFonts w:ascii="Arial" w:hAnsi="Arial" w:cs="Arial"/>
          <w:sz w:val="20"/>
          <w:szCs w:val="20"/>
        </w:rPr>
        <w:t>Uric acid</w:t>
      </w:r>
    </w:p>
    <w:p w14:paraId="054DFAF2" w14:textId="08818170" w:rsidR="00225735" w:rsidRPr="002A0933" w:rsidRDefault="002A0933" w:rsidP="0092537A">
      <w:pPr>
        <w:jc w:val="both"/>
        <w:rPr>
          <w:rFonts w:ascii="Arial" w:hAnsi="Arial" w:cs="Arial"/>
          <w:b/>
          <w:sz w:val="32"/>
          <w:szCs w:val="24"/>
        </w:rPr>
      </w:pPr>
      <w:r>
        <w:rPr>
          <w:rFonts w:ascii="Arial" w:hAnsi="Arial" w:cs="Arial"/>
          <w:b/>
          <w:sz w:val="32"/>
          <w:szCs w:val="24"/>
        </w:rPr>
        <w:t>Cyclosporine</w:t>
      </w:r>
    </w:p>
    <w:p w14:paraId="16AF1D96" w14:textId="77777777" w:rsidR="0092537A" w:rsidRDefault="0092537A" w:rsidP="009826C5">
      <w:pPr>
        <w:spacing w:line="360" w:lineRule="auto"/>
        <w:jc w:val="both"/>
        <w:rPr>
          <w:rFonts w:ascii="Arial" w:hAnsi="Arial" w:cs="Arial"/>
          <w:b/>
          <w:spacing w:val="60"/>
          <w:sz w:val="20"/>
          <w:szCs w:val="20"/>
        </w:rPr>
      </w:pPr>
      <w:r w:rsidRPr="0092537A">
        <w:rPr>
          <w:rFonts w:ascii="Arial" w:hAnsi="Arial" w:cs="Arial"/>
          <w:b/>
          <w:spacing w:val="60"/>
          <w:sz w:val="20"/>
          <w:szCs w:val="20"/>
        </w:rPr>
        <w:t>INITIATION OF THERAPY</w:t>
      </w:r>
    </w:p>
    <w:p w14:paraId="570ECCD9" w14:textId="5C43DB2C" w:rsidR="0092537A" w:rsidRPr="0092537A" w:rsidRDefault="0092537A" w:rsidP="008777DD">
      <w:pPr>
        <w:spacing w:line="360" w:lineRule="auto"/>
        <w:jc w:val="both"/>
        <w:rPr>
          <w:rFonts w:ascii="Arial" w:hAnsi="Arial" w:cs="Arial"/>
          <w:sz w:val="20"/>
          <w:szCs w:val="20"/>
        </w:rPr>
      </w:pPr>
      <w:r w:rsidRPr="00542388">
        <w:rPr>
          <w:rFonts w:ascii="Arial" w:hAnsi="Arial" w:cs="Arial"/>
          <w:b/>
          <w:sz w:val="20"/>
          <w:szCs w:val="20"/>
        </w:rPr>
        <w:t>Intravenous therapy should be initiated at 2 mg/kg/day</w:t>
      </w:r>
      <w:r w:rsidRPr="0092537A">
        <w:rPr>
          <w:rFonts w:ascii="Arial" w:hAnsi="Arial" w:cs="Arial"/>
          <w:sz w:val="20"/>
          <w:szCs w:val="20"/>
        </w:rPr>
        <w:t xml:space="preserve"> (rounded to the nearest 5 mg). It </w:t>
      </w:r>
      <w:r w:rsidR="00D049CF">
        <w:rPr>
          <w:rFonts w:ascii="Arial" w:hAnsi="Arial" w:cs="Arial"/>
          <w:sz w:val="20"/>
          <w:szCs w:val="20"/>
        </w:rPr>
        <w:t>is best ordered as a continuous infusion as 0.083 mg/kg/</w:t>
      </w:r>
      <w:proofErr w:type="spellStart"/>
      <w:r w:rsidR="00D049CF">
        <w:rPr>
          <w:rFonts w:ascii="Arial" w:hAnsi="Arial" w:cs="Arial"/>
          <w:sz w:val="20"/>
          <w:szCs w:val="20"/>
        </w:rPr>
        <w:t>hr</w:t>
      </w:r>
      <w:proofErr w:type="spellEnd"/>
      <w:r w:rsidR="00D049CF">
        <w:rPr>
          <w:rFonts w:ascii="Arial" w:hAnsi="Arial" w:cs="Arial"/>
          <w:sz w:val="20"/>
          <w:szCs w:val="20"/>
        </w:rPr>
        <w:t xml:space="preserve"> (equals 2 mg/kg/day). When entering in Epic, choose 250 mg in 250 mL normal saline and change the frequency to continuous. </w:t>
      </w:r>
      <w:r w:rsidRPr="0092537A">
        <w:rPr>
          <w:rFonts w:ascii="Arial" w:hAnsi="Arial" w:cs="Arial"/>
          <w:sz w:val="20"/>
          <w:szCs w:val="20"/>
        </w:rPr>
        <w:t>Becaus</w:t>
      </w:r>
      <w:r>
        <w:rPr>
          <w:rFonts w:ascii="Arial" w:hAnsi="Arial" w:cs="Arial"/>
          <w:sz w:val="20"/>
          <w:szCs w:val="20"/>
        </w:rPr>
        <w:t>e the colonic concentrations of</w:t>
      </w:r>
      <w:r w:rsidR="00225735">
        <w:rPr>
          <w:rFonts w:ascii="Arial" w:hAnsi="Arial" w:cs="Arial"/>
          <w:sz w:val="20"/>
          <w:szCs w:val="20"/>
        </w:rPr>
        <w:t xml:space="preserve"> </w:t>
      </w:r>
      <w:r w:rsidRPr="0092537A">
        <w:rPr>
          <w:rFonts w:ascii="Arial" w:hAnsi="Arial" w:cs="Arial"/>
          <w:sz w:val="20"/>
          <w:szCs w:val="20"/>
        </w:rPr>
        <w:t>cyclosporine are significantly higher in patients receiving IV regimens compared to patients receiving oral regimens, a short course</w:t>
      </w:r>
      <w:r w:rsidR="00D5743B">
        <w:rPr>
          <w:rFonts w:ascii="Arial" w:hAnsi="Arial" w:cs="Arial"/>
          <w:sz w:val="20"/>
          <w:szCs w:val="20"/>
        </w:rPr>
        <w:t xml:space="preserve"> (5-7 days)</w:t>
      </w:r>
      <w:r w:rsidRPr="0092537A">
        <w:rPr>
          <w:rFonts w:ascii="Arial" w:hAnsi="Arial" w:cs="Arial"/>
          <w:sz w:val="20"/>
          <w:szCs w:val="20"/>
        </w:rPr>
        <w:t xml:space="preserve"> of intravenous therapy may be preferred for t</w:t>
      </w:r>
      <w:r>
        <w:rPr>
          <w:rFonts w:ascii="Arial" w:hAnsi="Arial" w:cs="Arial"/>
          <w:sz w:val="20"/>
          <w:szCs w:val="20"/>
        </w:rPr>
        <w:t>he treatment of an acute flare.</w:t>
      </w:r>
    </w:p>
    <w:p w14:paraId="6DD57400" w14:textId="041A6D22" w:rsidR="00557065" w:rsidRDefault="0092537A" w:rsidP="008777DD">
      <w:pPr>
        <w:spacing w:line="360" w:lineRule="auto"/>
        <w:jc w:val="both"/>
        <w:rPr>
          <w:rFonts w:ascii="Arial" w:hAnsi="Arial" w:cs="Arial"/>
          <w:b/>
          <w:sz w:val="20"/>
          <w:szCs w:val="20"/>
        </w:rPr>
      </w:pPr>
      <w:r w:rsidRPr="0092537A">
        <w:rPr>
          <w:rFonts w:ascii="Arial" w:hAnsi="Arial" w:cs="Arial"/>
          <w:sz w:val="20"/>
          <w:szCs w:val="20"/>
        </w:rPr>
        <w:t>Oral therapy, if desired, should be initiated at</w:t>
      </w:r>
      <w:r w:rsidR="00736044">
        <w:rPr>
          <w:rFonts w:ascii="Arial" w:hAnsi="Arial" w:cs="Arial"/>
          <w:sz w:val="20"/>
          <w:szCs w:val="20"/>
        </w:rPr>
        <w:t xml:space="preserve"> 5.5 </w:t>
      </w:r>
      <w:r w:rsidR="004C30B0">
        <w:rPr>
          <w:rFonts w:ascii="Arial" w:hAnsi="Arial" w:cs="Arial"/>
          <w:sz w:val="20"/>
          <w:szCs w:val="20"/>
        </w:rPr>
        <w:t>m</w:t>
      </w:r>
      <w:r w:rsidRPr="0092537A">
        <w:rPr>
          <w:rFonts w:ascii="Arial" w:hAnsi="Arial" w:cs="Arial"/>
          <w:sz w:val="20"/>
          <w:szCs w:val="20"/>
        </w:rPr>
        <w:t xml:space="preserve">g/kg </w:t>
      </w:r>
      <w:r w:rsidR="00F0093B">
        <w:rPr>
          <w:rFonts w:ascii="Arial" w:hAnsi="Arial" w:cs="Arial"/>
          <w:sz w:val="20"/>
          <w:szCs w:val="20"/>
        </w:rPr>
        <w:t>in two divided doses</w:t>
      </w:r>
      <w:r w:rsidRPr="0092537A">
        <w:rPr>
          <w:rFonts w:ascii="Arial" w:hAnsi="Arial" w:cs="Arial"/>
          <w:sz w:val="20"/>
          <w:szCs w:val="20"/>
        </w:rPr>
        <w:t>. Cyclosporine microemulsion (</w:t>
      </w:r>
      <w:proofErr w:type="spellStart"/>
      <w:r w:rsidRPr="0092537A">
        <w:rPr>
          <w:rFonts w:ascii="Arial" w:hAnsi="Arial" w:cs="Arial"/>
          <w:sz w:val="20"/>
          <w:szCs w:val="20"/>
        </w:rPr>
        <w:t>Neoral</w:t>
      </w:r>
      <w:proofErr w:type="spellEnd"/>
      <w:r w:rsidRPr="0092537A">
        <w:rPr>
          <w:rFonts w:ascii="Arial" w:hAnsi="Arial" w:cs="Arial"/>
          <w:sz w:val="20"/>
          <w:szCs w:val="20"/>
        </w:rPr>
        <w:t>®) has better bioavailability than the original oral cyclosporine (</w:t>
      </w:r>
      <w:proofErr w:type="spellStart"/>
      <w:r w:rsidRPr="0092537A">
        <w:rPr>
          <w:rFonts w:ascii="Arial" w:hAnsi="Arial" w:cs="Arial"/>
          <w:sz w:val="20"/>
          <w:szCs w:val="20"/>
        </w:rPr>
        <w:t>Sandimmune</w:t>
      </w:r>
      <w:proofErr w:type="spellEnd"/>
      <w:r w:rsidRPr="0092537A">
        <w:rPr>
          <w:rFonts w:ascii="Arial" w:hAnsi="Arial" w:cs="Arial"/>
          <w:sz w:val="20"/>
          <w:szCs w:val="20"/>
        </w:rPr>
        <w:t>®) and thus is preferred for oral administration.</w:t>
      </w:r>
    </w:p>
    <w:p w14:paraId="30D015AB" w14:textId="77777777" w:rsidR="00557065" w:rsidRPr="00736044" w:rsidRDefault="0092537A" w:rsidP="009826C5">
      <w:pPr>
        <w:jc w:val="both"/>
        <w:rPr>
          <w:rFonts w:ascii="Arial" w:hAnsi="Arial" w:cs="Arial"/>
          <w:b/>
          <w:color w:val="000000" w:themeColor="text1"/>
          <w:sz w:val="20"/>
          <w:szCs w:val="20"/>
        </w:rPr>
      </w:pPr>
      <w:r w:rsidRPr="00736044">
        <w:rPr>
          <w:rFonts w:ascii="Arial" w:hAnsi="Arial" w:cs="Arial"/>
          <w:b/>
          <w:color w:val="000000" w:themeColor="text1"/>
          <w:spacing w:val="60"/>
          <w:sz w:val="20"/>
          <w:szCs w:val="20"/>
        </w:rPr>
        <w:t>CONVERTING FROM INTRAVENOUS TO ORAL THERAPY</w:t>
      </w:r>
    </w:p>
    <w:p w14:paraId="39DC09BA" w14:textId="3408E0A2" w:rsidR="00B37195" w:rsidRPr="00736044" w:rsidRDefault="0092537A" w:rsidP="0092537A">
      <w:pPr>
        <w:spacing w:line="360" w:lineRule="auto"/>
        <w:jc w:val="both"/>
        <w:rPr>
          <w:rFonts w:ascii="Arial" w:hAnsi="Arial" w:cs="Arial"/>
          <w:color w:val="000000" w:themeColor="text1"/>
          <w:sz w:val="20"/>
          <w:szCs w:val="20"/>
        </w:rPr>
      </w:pPr>
      <w:r w:rsidRPr="00736044">
        <w:rPr>
          <w:rFonts w:ascii="Arial" w:hAnsi="Arial" w:cs="Arial"/>
          <w:color w:val="000000" w:themeColor="text1"/>
          <w:sz w:val="20"/>
          <w:szCs w:val="20"/>
        </w:rPr>
        <w:t xml:space="preserve">When converting from IV to PO, the oral dose should be </w:t>
      </w:r>
      <w:r w:rsidR="00D5743B" w:rsidRPr="00736044">
        <w:rPr>
          <w:rFonts w:ascii="Arial" w:hAnsi="Arial" w:cs="Arial"/>
          <w:color w:val="000000" w:themeColor="text1"/>
          <w:sz w:val="20"/>
          <w:szCs w:val="20"/>
        </w:rPr>
        <w:t xml:space="preserve">switched to </w:t>
      </w:r>
      <w:r w:rsidR="004C30B0" w:rsidRPr="00736044">
        <w:rPr>
          <w:rFonts w:ascii="Arial" w:hAnsi="Arial" w:cs="Arial"/>
          <w:color w:val="000000" w:themeColor="text1"/>
          <w:sz w:val="20"/>
          <w:szCs w:val="20"/>
        </w:rPr>
        <w:t xml:space="preserve">5.5 </w:t>
      </w:r>
      <w:r w:rsidR="00DD7E0F" w:rsidRPr="00736044">
        <w:rPr>
          <w:rFonts w:ascii="Arial" w:hAnsi="Arial" w:cs="Arial"/>
          <w:color w:val="000000" w:themeColor="text1"/>
          <w:sz w:val="20"/>
          <w:szCs w:val="20"/>
        </w:rPr>
        <w:t>mg/kg/day</w:t>
      </w:r>
      <w:r w:rsidR="004C30B0" w:rsidRPr="00736044">
        <w:rPr>
          <w:rFonts w:ascii="Arial" w:hAnsi="Arial" w:cs="Arial"/>
          <w:color w:val="000000" w:themeColor="text1"/>
          <w:sz w:val="20"/>
          <w:szCs w:val="20"/>
        </w:rPr>
        <w:t xml:space="preserve"> or double the IV dosing if conversion &gt; 5.5 mg/kg/day.</w:t>
      </w:r>
      <w:r w:rsidR="00C30170" w:rsidRPr="00736044">
        <w:rPr>
          <w:rFonts w:ascii="Arial" w:hAnsi="Arial" w:cs="Arial"/>
          <w:color w:val="000000" w:themeColor="text1"/>
          <w:sz w:val="20"/>
          <w:szCs w:val="20"/>
          <w:vertAlign w:val="superscript"/>
        </w:rPr>
        <w:t>2,</w:t>
      </w:r>
      <w:r w:rsidR="004C30B0" w:rsidRPr="00736044">
        <w:rPr>
          <w:rFonts w:ascii="Arial" w:hAnsi="Arial" w:cs="Arial"/>
          <w:color w:val="000000" w:themeColor="text1"/>
          <w:sz w:val="20"/>
          <w:szCs w:val="20"/>
          <w:vertAlign w:val="superscript"/>
        </w:rPr>
        <w:t>9</w:t>
      </w:r>
      <w:r w:rsidRPr="00736044">
        <w:rPr>
          <w:rFonts w:ascii="Arial" w:hAnsi="Arial" w:cs="Arial"/>
          <w:color w:val="000000" w:themeColor="text1"/>
          <w:sz w:val="20"/>
          <w:szCs w:val="20"/>
        </w:rPr>
        <w:t xml:space="preserve"> This should be given in 2 divided</w:t>
      </w:r>
      <w:r w:rsidR="00D5743B" w:rsidRPr="00736044">
        <w:rPr>
          <w:rFonts w:ascii="Arial" w:hAnsi="Arial" w:cs="Arial"/>
          <w:color w:val="000000" w:themeColor="text1"/>
          <w:sz w:val="20"/>
          <w:szCs w:val="20"/>
        </w:rPr>
        <w:t xml:space="preserve"> </w:t>
      </w:r>
      <w:r w:rsidRPr="00736044">
        <w:rPr>
          <w:rFonts w:ascii="Arial" w:hAnsi="Arial" w:cs="Arial"/>
          <w:color w:val="000000" w:themeColor="text1"/>
          <w:sz w:val="20"/>
          <w:szCs w:val="20"/>
        </w:rPr>
        <w:t xml:space="preserve">doses per day. Oral cyclosporine is available in 25 mg and 100 mg capsules, so doses should be rounded </w:t>
      </w:r>
      <w:bookmarkStart w:id="0" w:name="_GoBack"/>
      <w:bookmarkEnd w:id="0"/>
      <w:r w:rsidRPr="00736044">
        <w:rPr>
          <w:rFonts w:ascii="Arial" w:hAnsi="Arial" w:cs="Arial"/>
          <w:color w:val="000000" w:themeColor="text1"/>
          <w:sz w:val="20"/>
          <w:szCs w:val="20"/>
        </w:rPr>
        <w:t>to the nearest 25 mg.</w:t>
      </w:r>
    </w:p>
    <w:p w14:paraId="5B76B7F8" w14:textId="0DFF48E5" w:rsidR="008777DD" w:rsidRPr="00736044" w:rsidRDefault="008777DD" w:rsidP="0092537A">
      <w:pPr>
        <w:spacing w:line="360" w:lineRule="auto"/>
        <w:jc w:val="both"/>
        <w:rPr>
          <w:rFonts w:ascii="Arial" w:hAnsi="Arial" w:cs="Arial"/>
          <w:color w:val="000000" w:themeColor="text1"/>
          <w:sz w:val="20"/>
          <w:szCs w:val="20"/>
        </w:rPr>
      </w:pPr>
    </w:p>
    <w:p w14:paraId="159C3476" w14:textId="311FDF53" w:rsidR="008777DD" w:rsidRDefault="008777DD" w:rsidP="0092537A">
      <w:pPr>
        <w:spacing w:line="360" w:lineRule="auto"/>
        <w:jc w:val="both"/>
        <w:rPr>
          <w:rFonts w:ascii="Arial" w:hAnsi="Arial" w:cs="Arial"/>
          <w:sz w:val="20"/>
          <w:szCs w:val="20"/>
        </w:rPr>
      </w:pPr>
    </w:p>
    <w:p w14:paraId="496DFEC9" w14:textId="77777777" w:rsidR="00B67495" w:rsidRDefault="00B67495" w:rsidP="009826C5">
      <w:pPr>
        <w:spacing w:line="360" w:lineRule="auto"/>
        <w:jc w:val="both"/>
        <w:rPr>
          <w:rFonts w:ascii="Arial" w:hAnsi="Arial" w:cs="Arial"/>
          <w:b/>
          <w:spacing w:val="60"/>
          <w:sz w:val="20"/>
          <w:szCs w:val="20"/>
        </w:rPr>
      </w:pPr>
      <w:r w:rsidRPr="00B67495">
        <w:rPr>
          <w:rFonts w:ascii="Arial" w:hAnsi="Arial" w:cs="Arial"/>
          <w:b/>
          <w:spacing w:val="60"/>
          <w:sz w:val="20"/>
          <w:szCs w:val="20"/>
        </w:rPr>
        <w:t>BLOOD CONCENTRATION MONITORING AND DOSAGE ADJUSTMENT</w:t>
      </w:r>
    </w:p>
    <w:p w14:paraId="1BD4332C" w14:textId="4457043A" w:rsidR="00B67495" w:rsidRPr="00B67495" w:rsidRDefault="00B67495" w:rsidP="00B67495">
      <w:pPr>
        <w:spacing w:line="360" w:lineRule="auto"/>
        <w:jc w:val="both"/>
        <w:rPr>
          <w:rFonts w:ascii="Arial" w:hAnsi="Arial" w:cs="Arial"/>
          <w:sz w:val="20"/>
          <w:szCs w:val="20"/>
        </w:rPr>
      </w:pPr>
      <w:r w:rsidRPr="00B67495">
        <w:rPr>
          <w:rFonts w:ascii="Arial" w:hAnsi="Arial" w:cs="Arial"/>
          <w:sz w:val="20"/>
          <w:szCs w:val="20"/>
        </w:rPr>
        <w:t xml:space="preserve">Cyclosporine whole blood concentrations are measured by liquid chromatography-tandem mass spectrometry by our lab. Samples should be drawn </w:t>
      </w:r>
      <w:r>
        <w:rPr>
          <w:rFonts w:ascii="Arial" w:hAnsi="Arial" w:cs="Arial"/>
          <w:sz w:val="20"/>
          <w:szCs w:val="20"/>
        </w:rPr>
        <w:t>in lavender tubes. Samples must</w:t>
      </w:r>
      <w:r w:rsidR="007C02ED">
        <w:rPr>
          <w:rFonts w:ascii="Arial" w:hAnsi="Arial" w:cs="Arial"/>
          <w:sz w:val="20"/>
          <w:szCs w:val="20"/>
        </w:rPr>
        <w:t xml:space="preserve"> </w:t>
      </w:r>
      <w:r w:rsidRPr="00B67495">
        <w:rPr>
          <w:rFonts w:ascii="Arial" w:hAnsi="Arial" w:cs="Arial"/>
          <w:sz w:val="20"/>
          <w:szCs w:val="20"/>
        </w:rPr>
        <w:t>be received by the lab by 12 noon to be run the same day.</w:t>
      </w:r>
    </w:p>
    <w:p w14:paraId="611DCCAA" w14:textId="13293BCE" w:rsidR="00B67495" w:rsidRPr="00B67495" w:rsidRDefault="00B67495" w:rsidP="00B67495">
      <w:pPr>
        <w:spacing w:line="360" w:lineRule="auto"/>
        <w:jc w:val="both"/>
        <w:rPr>
          <w:rFonts w:ascii="Arial" w:hAnsi="Arial" w:cs="Arial"/>
          <w:sz w:val="20"/>
          <w:szCs w:val="20"/>
        </w:rPr>
      </w:pPr>
      <w:r w:rsidRPr="00B67495">
        <w:rPr>
          <w:rFonts w:ascii="Arial" w:hAnsi="Arial" w:cs="Arial"/>
          <w:sz w:val="20"/>
          <w:szCs w:val="20"/>
        </w:rPr>
        <w:t>Cyclosporine blood samples should not be drawn through existing intravenous lines because of possible contamination. Therefore, the samples should only be drawn via a peripheral ven</w:t>
      </w:r>
      <w:r w:rsidR="0038464E">
        <w:rPr>
          <w:rFonts w:ascii="Arial" w:hAnsi="Arial" w:cs="Arial"/>
          <w:sz w:val="20"/>
          <w:szCs w:val="20"/>
        </w:rPr>
        <w:t>i</w:t>
      </w:r>
      <w:r w:rsidRPr="00B67495">
        <w:rPr>
          <w:rFonts w:ascii="Arial" w:hAnsi="Arial" w:cs="Arial"/>
          <w:sz w:val="20"/>
          <w:szCs w:val="20"/>
        </w:rPr>
        <w:t>puncture.</w:t>
      </w:r>
      <w:r w:rsidR="002A0933">
        <w:rPr>
          <w:rFonts w:ascii="Arial" w:hAnsi="Arial" w:cs="Arial"/>
          <w:sz w:val="20"/>
          <w:szCs w:val="20"/>
        </w:rPr>
        <w:t xml:space="preserve"> </w:t>
      </w:r>
      <w:r w:rsidRPr="00B67495">
        <w:rPr>
          <w:rFonts w:ascii="Arial" w:hAnsi="Arial" w:cs="Arial"/>
          <w:sz w:val="20"/>
          <w:szCs w:val="20"/>
        </w:rPr>
        <w:t xml:space="preserve">Since the time to steady state concentrations averages 2 to 3 days, timed whole blood cyclosporine concentrations should be drawn </w:t>
      </w:r>
      <w:r w:rsidR="005F0566">
        <w:rPr>
          <w:rFonts w:ascii="Arial" w:hAnsi="Arial" w:cs="Arial"/>
          <w:sz w:val="20"/>
          <w:szCs w:val="20"/>
        </w:rPr>
        <w:t>48</w:t>
      </w:r>
      <w:r w:rsidRPr="00B67495">
        <w:rPr>
          <w:rFonts w:ascii="Arial" w:hAnsi="Arial" w:cs="Arial"/>
          <w:sz w:val="20"/>
          <w:szCs w:val="20"/>
        </w:rPr>
        <w:t xml:space="preserve"> to 72 hours after initiation </w:t>
      </w:r>
      <w:r>
        <w:rPr>
          <w:rFonts w:ascii="Arial" w:hAnsi="Arial" w:cs="Arial"/>
          <w:sz w:val="20"/>
          <w:szCs w:val="20"/>
        </w:rPr>
        <w:t>of therapy or a change in dose.</w:t>
      </w:r>
      <w:r w:rsidR="007C02ED">
        <w:rPr>
          <w:rFonts w:ascii="Arial" w:hAnsi="Arial" w:cs="Arial"/>
          <w:sz w:val="20"/>
          <w:szCs w:val="20"/>
        </w:rPr>
        <w:t xml:space="preserve"> </w:t>
      </w:r>
    </w:p>
    <w:p w14:paraId="4F417644" w14:textId="18E3AF5C" w:rsidR="00B67495" w:rsidRPr="00B67495" w:rsidRDefault="007C02ED" w:rsidP="00B67495">
      <w:pPr>
        <w:spacing w:line="360" w:lineRule="auto"/>
        <w:jc w:val="both"/>
        <w:rPr>
          <w:rFonts w:ascii="Arial" w:hAnsi="Arial" w:cs="Arial"/>
          <w:sz w:val="20"/>
          <w:szCs w:val="20"/>
        </w:rPr>
      </w:pPr>
      <w:r w:rsidRPr="00542388">
        <w:rPr>
          <w:rFonts w:ascii="Arial" w:hAnsi="Arial" w:cs="Arial"/>
          <w:b/>
          <w:sz w:val="20"/>
          <w:szCs w:val="20"/>
        </w:rPr>
        <w:t xml:space="preserve">Trough goals for cyclosporine </w:t>
      </w:r>
      <w:r w:rsidR="002421A4" w:rsidRPr="00542388">
        <w:rPr>
          <w:rFonts w:ascii="Arial" w:hAnsi="Arial" w:cs="Arial"/>
          <w:b/>
          <w:sz w:val="20"/>
          <w:szCs w:val="20"/>
        </w:rPr>
        <w:t>in the treatment of colitis are 150-250 ng/ml</w:t>
      </w:r>
      <w:r w:rsidR="00C30170">
        <w:rPr>
          <w:rFonts w:ascii="Arial" w:hAnsi="Arial" w:cs="Arial"/>
          <w:sz w:val="20"/>
          <w:szCs w:val="20"/>
        </w:rPr>
        <w:t>.</w:t>
      </w:r>
      <w:r w:rsidR="002421A4">
        <w:rPr>
          <w:rFonts w:ascii="Arial" w:hAnsi="Arial" w:cs="Arial"/>
          <w:sz w:val="20"/>
          <w:szCs w:val="20"/>
        </w:rPr>
        <w:t xml:space="preserve"> </w:t>
      </w:r>
      <w:r w:rsidR="002A0933">
        <w:rPr>
          <w:rFonts w:ascii="Arial" w:hAnsi="Arial" w:cs="Arial"/>
          <w:sz w:val="20"/>
          <w:szCs w:val="20"/>
        </w:rPr>
        <w:t xml:space="preserve">Reported concentrations, </w:t>
      </w:r>
      <w:r w:rsidR="00B67495" w:rsidRPr="00B67495">
        <w:rPr>
          <w:rFonts w:ascii="Arial" w:hAnsi="Arial" w:cs="Arial"/>
          <w:sz w:val="20"/>
          <w:szCs w:val="20"/>
        </w:rPr>
        <w:t>which are above or below the desired range</w:t>
      </w:r>
      <w:r w:rsidR="002A0933">
        <w:rPr>
          <w:rFonts w:ascii="Arial" w:hAnsi="Arial" w:cs="Arial"/>
          <w:sz w:val="20"/>
          <w:szCs w:val="20"/>
        </w:rPr>
        <w:t>,</w:t>
      </w:r>
      <w:r w:rsidR="00B67495" w:rsidRPr="00B67495">
        <w:rPr>
          <w:rFonts w:ascii="Arial" w:hAnsi="Arial" w:cs="Arial"/>
          <w:sz w:val="20"/>
          <w:szCs w:val="20"/>
        </w:rPr>
        <w:t xml:space="preserve"> may be adjusted as follows:</w:t>
      </w:r>
    </w:p>
    <w:p w14:paraId="1D62E6BF" w14:textId="2FE80AC1" w:rsidR="00B67495" w:rsidRPr="002A0933" w:rsidRDefault="00B67495" w:rsidP="002A0933">
      <w:pPr>
        <w:pStyle w:val="ListParagraph"/>
        <w:numPr>
          <w:ilvl w:val="0"/>
          <w:numId w:val="12"/>
        </w:numPr>
        <w:spacing w:line="360" w:lineRule="auto"/>
        <w:jc w:val="both"/>
        <w:rPr>
          <w:rFonts w:ascii="Arial" w:hAnsi="Arial" w:cs="Arial"/>
          <w:sz w:val="20"/>
          <w:szCs w:val="20"/>
        </w:rPr>
      </w:pPr>
      <w:r w:rsidRPr="002A0933">
        <w:rPr>
          <w:rFonts w:ascii="Arial" w:hAnsi="Arial" w:cs="Arial"/>
          <w:sz w:val="20"/>
          <w:szCs w:val="20"/>
        </w:rPr>
        <w:t xml:space="preserve">Below </w:t>
      </w:r>
      <w:r w:rsidR="00B25856" w:rsidRPr="002A0933">
        <w:rPr>
          <w:rFonts w:ascii="Arial" w:hAnsi="Arial" w:cs="Arial"/>
          <w:sz w:val="20"/>
          <w:szCs w:val="20"/>
        </w:rPr>
        <w:t xml:space="preserve">150 </w:t>
      </w:r>
      <w:r w:rsidRPr="002A0933">
        <w:rPr>
          <w:rFonts w:ascii="Arial" w:hAnsi="Arial" w:cs="Arial"/>
          <w:sz w:val="20"/>
          <w:szCs w:val="20"/>
        </w:rPr>
        <w:t xml:space="preserve">ng/mL: Increase dose by 20-30% and recheck concentration in </w:t>
      </w:r>
      <w:r w:rsidR="00C730BE">
        <w:rPr>
          <w:rFonts w:ascii="Arial" w:hAnsi="Arial" w:cs="Arial"/>
          <w:sz w:val="20"/>
          <w:szCs w:val="20"/>
        </w:rPr>
        <w:t>48</w:t>
      </w:r>
      <w:r w:rsidR="00C730BE" w:rsidRPr="002A0933">
        <w:rPr>
          <w:rFonts w:ascii="Arial" w:hAnsi="Arial" w:cs="Arial"/>
          <w:sz w:val="20"/>
          <w:szCs w:val="20"/>
        </w:rPr>
        <w:t xml:space="preserve"> </w:t>
      </w:r>
      <w:r w:rsidRPr="002A0933">
        <w:rPr>
          <w:rFonts w:ascii="Arial" w:hAnsi="Arial" w:cs="Arial"/>
          <w:sz w:val="20"/>
          <w:szCs w:val="20"/>
        </w:rPr>
        <w:t>to 72 hours.</w:t>
      </w:r>
    </w:p>
    <w:p w14:paraId="763AF145" w14:textId="73F15B70" w:rsidR="00B67495" w:rsidRPr="002A0933" w:rsidRDefault="00B25856" w:rsidP="002A0933">
      <w:pPr>
        <w:pStyle w:val="ListParagraph"/>
        <w:numPr>
          <w:ilvl w:val="0"/>
          <w:numId w:val="12"/>
        </w:numPr>
        <w:spacing w:line="360" w:lineRule="auto"/>
        <w:jc w:val="both"/>
        <w:rPr>
          <w:rFonts w:ascii="Arial" w:hAnsi="Arial" w:cs="Arial"/>
          <w:sz w:val="20"/>
          <w:szCs w:val="20"/>
        </w:rPr>
      </w:pPr>
      <w:r w:rsidRPr="002A0933">
        <w:rPr>
          <w:rFonts w:ascii="Arial" w:hAnsi="Arial" w:cs="Arial"/>
          <w:sz w:val="20"/>
          <w:szCs w:val="20"/>
        </w:rPr>
        <w:t xml:space="preserve">250-350 </w:t>
      </w:r>
      <w:r w:rsidR="00B67495" w:rsidRPr="002A0933">
        <w:rPr>
          <w:rFonts w:ascii="Arial" w:hAnsi="Arial" w:cs="Arial"/>
          <w:sz w:val="20"/>
          <w:szCs w:val="20"/>
        </w:rPr>
        <w:t xml:space="preserve">ng/mL: Decrease dose by 20-30% and recheck concentration in </w:t>
      </w:r>
      <w:r w:rsidR="00C730BE">
        <w:rPr>
          <w:rFonts w:ascii="Arial" w:hAnsi="Arial" w:cs="Arial"/>
          <w:sz w:val="20"/>
          <w:szCs w:val="20"/>
        </w:rPr>
        <w:t>48</w:t>
      </w:r>
      <w:r w:rsidR="00C730BE" w:rsidRPr="002A0933">
        <w:rPr>
          <w:rFonts w:ascii="Arial" w:hAnsi="Arial" w:cs="Arial"/>
          <w:sz w:val="20"/>
          <w:szCs w:val="20"/>
        </w:rPr>
        <w:t xml:space="preserve"> </w:t>
      </w:r>
      <w:r w:rsidR="00B67495" w:rsidRPr="002A0933">
        <w:rPr>
          <w:rFonts w:ascii="Arial" w:hAnsi="Arial" w:cs="Arial"/>
          <w:sz w:val="20"/>
          <w:szCs w:val="20"/>
        </w:rPr>
        <w:t>to 72 hours.</w:t>
      </w:r>
    </w:p>
    <w:p w14:paraId="4E46D3A2" w14:textId="7A80A3C4" w:rsidR="00B67495" w:rsidRPr="002A0933" w:rsidRDefault="00B67495" w:rsidP="002A0933">
      <w:pPr>
        <w:pStyle w:val="ListParagraph"/>
        <w:numPr>
          <w:ilvl w:val="0"/>
          <w:numId w:val="12"/>
        </w:numPr>
        <w:spacing w:line="360" w:lineRule="auto"/>
        <w:jc w:val="both"/>
        <w:rPr>
          <w:rFonts w:ascii="Arial" w:hAnsi="Arial" w:cs="Arial"/>
          <w:sz w:val="20"/>
          <w:szCs w:val="20"/>
        </w:rPr>
      </w:pPr>
      <w:r w:rsidRPr="002A0933">
        <w:rPr>
          <w:rFonts w:ascii="Arial" w:hAnsi="Arial" w:cs="Arial"/>
          <w:sz w:val="20"/>
          <w:szCs w:val="20"/>
        </w:rPr>
        <w:t>Above 350 ng/mL: Hold dose for 6 to 12 hours and decrease dose by 30-40%.</w:t>
      </w:r>
    </w:p>
    <w:p w14:paraId="0E31D987" w14:textId="0D4DC2EA" w:rsidR="00B67495" w:rsidRPr="002A0933" w:rsidRDefault="00B67495" w:rsidP="002A0933">
      <w:pPr>
        <w:pStyle w:val="ListParagraph"/>
        <w:numPr>
          <w:ilvl w:val="0"/>
          <w:numId w:val="11"/>
        </w:numPr>
        <w:spacing w:line="360" w:lineRule="auto"/>
        <w:jc w:val="both"/>
        <w:rPr>
          <w:rFonts w:ascii="Arial" w:hAnsi="Arial" w:cs="Arial"/>
          <w:sz w:val="20"/>
          <w:szCs w:val="20"/>
        </w:rPr>
      </w:pPr>
      <w:r w:rsidRPr="002A0933">
        <w:rPr>
          <w:rFonts w:ascii="Arial" w:hAnsi="Arial" w:cs="Arial"/>
          <w:sz w:val="20"/>
          <w:szCs w:val="20"/>
        </w:rPr>
        <w:t xml:space="preserve">Recheck concentration in </w:t>
      </w:r>
      <w:r w:rsidR="00C730BE">
        <w:rPr>
          <w:rFonts w:ascii="Arial" w:hAnsi="Arial" w:cs="Arial"/>
          <w:sz w:val="20"/>
          <w:szCs w:val="20"/>
        </w:rPr>
        <w:t>48</w:t>
      </w:r>
      <w:r w:rsidR="00C730BE" w:rsidRPr="002A0933">
        <w:rPr>
          <w:rFonts w:ascii="Arial" w:hAnsi="Arial" w:cs="Arial"/>
          <w:sz w:val="20"/>
          <w:szCs w:val="20"/>
        </w:rPr>
        <w:t xml:space="preserve"> </w:t>
      </w:r>
      <w:r w:rsidRPr="002A0933">
        <w:rPr>
          <w:rFonts w:ascii="Arial" w:hAnsi="Arial" w:cs="Arial"/>
          <w:sz w:val="20"/>
          <w:szCs w:val="20"/>
        </w:rPr>
        <w:t>to 72 hours.</w:t>
      </w:r>
    </w:p>
    <w:p w14:paraId="2972C432" w14:textId="329A2791" w:rsidR="00B67495" w:rsidRPr="002A0933" w:rsidRDefault="00B67495" w:rsidP="002A0933">
      <w:pPr>
        <w:pStyle w:val="ListParagraph"/>
        <w:numPr>
          <w:ilvl w:val="0"/>
          <w:numId w:val="12"/>
        </w:numPr>
        <w:spacing w:line="360" w:lineRule="auto"/>
        <w:jc w:val="both"/>
        <w:rPr>
          <w:rFonts w:ascii="Arial" w:hAnsi="Arial" w:cs="Arial"/>
          <w:sz w:val="20"/>
          <w:szCs w:val="20"/>
        </w:rPr>
      </w:pPr>
      <w:r w:rsidRPr="002A0933">
        <w:rPr>
          <w:rFonts w:ascii="Arial" w:hAnsi="Arial" w:cs="Arial"/>
          <w:sz w:val="20"/>
          <w:szCs w:val="20"/>
        </w:rPr>
        <w:t xml:space="preserve">If serum creatinine increases by 30%, decrease dose by 30% even if timed level is at goal </w:t>
      </w:r>
      <w:r w:rsidR="002A0933">
        <w:rPr>
          <w:rFonts w:ascii="Arial" w:hAnsi="Arial" w:cs="Arial"/>
          <w:sz w:val="20"/>
          <w:szCs w:val="20"/>
        </w:rPr>
        <w:br/>
      </w:r>
      <w:r w:rsidR="00542388" w:rsidRPr="002A0933">
        <w:rPr>
          <w:rFonts w:ascii="Arial" w:hAnsi="Arial" w:cs="Arial"/>
          <w:sz w:val="20"/>
          <w:szCs w:val="20"/>
        </w:rPr>
        <w:t>(</w:t>
      </w:r>
      <w:r w:rsidR="00B25856" w:rsidRPr="002A0933">
        <w:rPr>
          <w:rFonts w:ascii="Arial" w:hAnsi="Arial" w:cs="Arial"/>
          <w:sz w:val="20"/>
          <w:szCs w:val="20"/>
        </w:rPr>
        <w:t xml:space="preserve">150-250 </w:t>
      </w:r>
      <w:r w:rsidR="00542388" w:rsidRPr="002A0933">
        <w:rPr>
          <w:rFonts w:ascii="Arial" w:hAnsi="Arial" w:cs="Arial"/>
          <w:sz w:val="20"/>
          <w:szCs w:val="20"/>
        </w:rPr>
        <w:t>ng/mL).</w:t>
      </w:r>
    </w:p>
    <w:p w14:paraId="32DD75D3" w14:textId="5F726571" w:rsidR="00B67495" w:rsidRPr="002A0933" w:rsidRDefault="00B67495" w:rsidP="002A0933">
      <w:pPr>
        <w:pStyle w:val="ListParagraph"/>
        <w:numPr>
          <w:ilvl w:val="0"/>
          <w:numId w:val="12"/>
        </w:numPr>
        <w:spacing w:line="360" w:lineRule="auto"/>
        <w:jc w:val="both"/>
        <w:rPr>
          <w:rFonts w:ascii="Arial" w:hAnsi="Arial" w:cs="Arial"/>
          <w:sz w:val="20"/>
          <w:szCs w:val="20"/>
        </w:rPr>
      </w:pPr>
      <w:r w:rsidRPr="002A0933">
        <w:rPr>
          <w:rFonts w:ascii="Arial" w:hAnsi="Arial" w:cs="Arial"/>
          <w:sz w:val="20"/>
          <w:szCs w:val="20"/>
        </w:rPr>
        <w:t>If increasing disease activity is seen, may increase dose by 30% even if timed level is at goal (</w:t>
      </w:r>
      <w:r w:rsidR="00B25856" w:rsidRPr="002A0933">
        <w:rPr>
          <w:rFonts w:ascii="Arial" w:hAnsi="Arial" w:cs="Arial"/>
          <w:sz w:val="20"/>
          <w:szCs w:val="20"/>
        </w:rPr>
        <w:t xml:space="preserve">150-250 </w:t>
      </w:r>
      <w:r w:rsidRPr="002A0933">
        <w:rPr>
          <w:rFonts w:ascii="Arial" w:hAnsi="Arial" w:cs="Arial"/>
          <w:sz w:val="20"/>
          <w:szCs w:val="20"/>
        </w:rPr>
        <w:t>ng/mL).</w:t>
      </w:r>
    </w:p>
    <w:p w14:paraId="74FDFA50" w14:textId="77777777" w:rsidR="00B67495" w:rsidRDefault="00B67495" w:rsidP="00B67495">
      <w:pPr>
        <w:spacing w:line="360" w:lineRule="auto"/>
        <w:jc w:val="both"/>
        <w:rPr>
          <w:rFonts w:ascii="Arial" w:hAnsi="Arial" w:cs="Arial"/>
          <w:b/>
          <w:spacing w:val="60"/>
          <w:sz w:val="20"/>
          <w:szCs w:val="20"/>
        </w:rPr>
      </w:pPr>
      <w:r w:rsidRPr="00B67495">
        <w:rPr>
          <w:rFonts w:ascii="Arial" w:hAnsi="Arial" w:cs="Arial"/>
          <w:b/>
          <w:spacing w:val="60"/>
          <w:sz w:val="20"/>
          <w:szCs w:val="20"/>
        </w:rPr>
        <w:t>ROUTINE MONITORING</w:t>
      </w:r>
    </w:p>
    <w:p w14:paraId="4E78C706" w14:textId="32BE418E" w:rsidR="00B67495" w:rsidRPr="00542388" w:rsidRDefault="00B67495" w:rsidP="00B67495">
      <w:pPr>
        <w:spacing w:line="360" w:lineRule="auto"/>
        <w:jc w:val="both"/>
        <w:rPr>
          <w:rFonts w:ascii="Arial" w:hAnsi="Arial" w:cs="Arial"/>
          <w:sz w:val="20"/>
          <w:szCs w:val="20"/>
        </w:rPr>
      </w:pPr>
      <w:r w:rsidRPr="00B67495">
        <w:rPr>
          <w:rFonts w:ascii="Arial" w:hAnsi="Arial" w:cs="Arial"/>
          <w:sz w:val="20"/>
          <w:szCs w:val="20"/>
        </w:rPr>
        <w:t>Serum creatinine, potassium</w:t>
      </w:r>
      <w:r w:rsidR="00B25856">
        <w:rPr>
          <w:rFonts w:ascii="Arial" w:hAnsi="Arial" w:cs="Arial"/>
          <w:sz w:val="20"/>
          <w:szCs w:val="20"/>
        </w:rPr>
        <w:t xml:space="preserve">, </w:t>
      </w:r>
      <w:r w:rsidR="00B25856" w:rsidRPr="00542388">
        <w:rPr>
          <w:rFonts w:ascii="Arial" w:hAnsi="Arial" w:cs="Arial"/>
          <w:sz w:val="20"/>
          <w:szCs w:val="20"/>
        </w:rPr>
        <w:t>magnesium,</w:t>
      </w:r>
      <w:r w:rsidRPr="00542388">
        <w:rPr>
          <w:rFonts w:ascii="Arial" w:hAnsi="Arial" w:cs="Arial"/>
          <w:sz w:val="20"/>
          <w:szCs w:val="20"/>
        </w:rPr>
        <w:t xml:space="preserve"> and uric acid should be measured every other day initially, then weekly.</w:t>
      </w:r>
      <w:r w:rsidR="00B25856" w:rsidRPr="00542388">
        <w:rPr>
          <w:rFonts w:ascii="Arial" w:hAnsi="Arial" w:cs="Arial"/>
          <w:sz w:val="20"/>
          <w:szCs w:val="20"/>
        </w:rPr>
        <w:t xml:space="preserve"> Magnesium supplementation is suggested for levels &lt; 1.5 mcg/m</w:t>
      </w:r>
      <w:r w:rsidR="002A0933">
        <w:rPr>
          <w:rFonts w:ascii="Arial" w:hAnsi="Arial" w:cs="Arial"/>
          <w:sz w:val="20"/>
          <w:szCs w:val="20"/>
        </w:rPr>
        <w:t>L</w:t>
      </w:r>
      <w:r w:rsidR="00B25856" w:rsidRPr="00542388">
        <w:rPr>
          <w:rFonts w:ascii="Arial" w:hAnsi="Arial" w:cs="Arial"/>
          <w:sz w:val="20"/>
          <w:szCs w:val="20"/>
        </w:rPr>
        <w:t xml:space="preserve"> to reduce risk of neurological side effects.</w:t>
      </w:r>
    </w:p>
    <w:p w14:paraId="0A7803AE" w14:textId="77777777" w:rsidR="00B67495" w:rsidRPr="00B67495" w:rsidRDefault="00B67495" w:rsidP="00B67495">
      <w:pPr>
        <w:spacing w:line="360" w:lineRule="auto"/>
        <w:jc w:val="both"/>
        <w:rPr>
          <w:rFonts w:ascii="Arial" w:hAnsi="Arial" w:cs="Arial"/>
          <w:sz w:val="20"/>
          <w:szCs w:val="20"/>
        </w:rPr>
      </w:pPr>
      <w:r w:rsidRPr="00B67495">
        <w:rPr>
          <w:rFonts w:ascii="Arial" w:hAnsi="Arial" w:cs="Arial"/>
          <w:sz w:val="20"/>
          <w:szCs w:val="20"/>
        </w:rPr>
        <w:t>Liver function tests should be checked weekly at first, then every other week.</w:t>
      </w:r>
    </w:p>
    <w:p w14:paraId="3931DD2A" w14:textId="793CAE9E" w:rsidR="00B67495" w:rsidRDefault="00B67495" w:rsidP="00B67495">
      <w:pPr>
        <w:spacing w:line="360" w:lineRule="auto"/>
        <w:jc w:val="both"/>
        <w:rPr>
          <w:rFonts w:ascii="Arial" w:hAnsi="Arial" w:cs="Arial"/>
          <w:sz w:val="20"/>
          <w:szCs w:val="20"/>
        </w:rPr>
      </w:pPr>
      <w:r w:rsidRPr="00B67495">
        <w:rPr>
          <w:rFonts w:ascii="Arial" w:hAnsi="Arial" w:cs="Arial"/>
          <w:sz w:val="20"/>
          <w:szCs w:val="20"/>
        </w:rPr>
        <w:t>Trough cyclosporine concentrations should be measured every two to three days until stable dosing is established. Further trough monitoring should then be done weekly for 2 weeks, then every other week thereafter.</w:t>
      </w:r>
    </w:p>
    <w:p w14:paraId="4962BEC6" w14:textId="77777777" w:rsidR="002A0933" w:rsidRDefault="002A0933" w:rsidP="002A0933">
      <w:pPr>
        <w:spacing w:line="360" w:lineRule="auto"/>
        <w:jc w:val="both"/>
        <w:rPr>
          <w:rFonts w:ascii="Arial" w:hAnsi="Arial" w:cs="Arial"/>
          <w:b/>
          <w:spacing w:val="60"/>
          <w:sz w:val="20"/>
          <w:szCs w:val="20"/>
        </w:rPr>
      </w:pPr>
      <w:r w:rsidRPr="00383AA5">
        <w:rPr>
          <w:rFonts w:ascii="Arial" w:hAnsi="Arial" w:cs="Arial"/>
          <w:b/>
          <w:spacing w:val="60"/>
          <w:sz w:val="20"/>
          <w:szCs w:val="20"/>
        </w:rPr>
        <w:t>DRUG INTERACTIONS</w:t>
      </w:r>
    </w:p>
    <w:p w14:paraId="228A03F5" w14:textId="77777777" w:rsidR="002A0933" w:rsidRDefault="002A0933" w:rsidP="00B67495">
      <w:pPr>
        <w:spacing w:line="360" w:lineRule="auto"/>
        <w:jc w:val="both"/>
        <w:rPr>
          <w:rFonts w:ascii="Arial" w:hAnsi="Arial" w:cs="Arial"/>
          <w:sz w:val="20"/>
          <w:szCs w:val="20"/>
        </w:rPr>
      </w:pPr>
      <w:r w:rsidRPr="00CF1C50">
        <w:rPr>
          <w:rFonts w:ascii="Arial" w:hAnsi="Arial" w:cs="Arial"/>
          <w:sz w:val="20"/>
          <w:szCs w:val="20"/>
        </w:rPr>
        <w:lastRenderedPageBreak/>
        <w:t xml:space="preserve">Several medications are known to interact with cyclosporine.  When any new medication is added to the patient’s regimen after initiation of cyclosporine therapy, the potential for drug interactions should be evaluated. </w:t>
      </w:r>
    </w:p>
    <w:p w14:paraId="496F8AC4" w14:textId="4C7AEAAE" w:rsidR="00B45155" w:rsidRPr="002A0933" w:rsidRDefault="002A0933" w:rsidP="00B67495">
      <w:pPr>
        <w:spacing w:line="360" w:lineRule="auto"/>
        <w:jc w:val="both"/>
        <w:rPr>
          <w:rFonts w:ascii="Arial" w:hAnsi="Arial" w:cs="Arial"/>
          <w:b/>
          <w:sz w:val="32"/>
          <w:szCs w:val="24"/>
        </w:rPr>
      </w:pPr>
      <w:r w:rsidRPr="002A0933">
        <w:rPr>
          <w:rFonts w:ascii="Arial" w:hAnsi="Arial" w:cs="Arial"/>
          <w:b/>
          <w:sz w:val="32"/>
          <w:szCs w:val="24"/>
        </w:rPr>
        <w:t>Tacrolimus</w:t>
      </w:r>
    </w:p>
    <w:p w14:paraId="24A0C1CB" w14:textId="7B70A13C" w:rsidR="002A0933" w:rsidRDefault="002A0933" w:rsidP="002A0933">
      <w:pPr>
        <w:spacing w:line="360" w:lineRule="auto"/>
        <w:jc w:val="both"/>
        <w:rPr>
          <w:rFonts w:ascii="Arial" w:hAnsi="Arial" w:cs="Arial"/>
          <w:b/>
          <w:spacing w:val="60"/>
          <w:sz w:val="20"/>
          <w:szCs w:val="20"/>
        </w:rPr>
      </w:pPr>
      <w:r w:rsidRPr="0092537A">
        <w:rPr>
          <w:rFonts w:ascii="Arial" w:hAnsi="Arial" w:cs="Arial"/>
          <w:b/>
          <w:spacing w:val="60"/>
          <w:sz w:val="20"/>
          <w:szCs w:val="20"/>
        </w:rPr>
        <w:t>INITIATION OF THERAPY</w:t>
      </w:r>
    </w:p>
    <w:p w14:paraId="2334F69A" w14:textId="367490F3" w:rsidR="00B45155" w:rsidRDefault="00B45155" w:rsidP="00B67495">
      <w:pPr>
        <w:spacing w:line="360" w:lineRule="auto"/>
        <w:jc w:val="both"/>
        <w:rPr>
          <w:rFonts w:ascii="Arial" w:hAnsi="Arial" w:cs="Arial"/>
          <w:sz w:val="20"/>
          <w:szCs w:val="20"/>
        </w:rPr>
      </w:pPr>
      <w:r w:rsidRPr="00542388">
        <w:rPr>
          <w:rFonts w:ascii="Arial" w:hAnsi="Arial" w:cs="Arial"/>
          <w:b/>
          <w:sz w:val="20"/>
          <w:szCs w:val="20"/>
        </w:rPr>
        <w:t>Oral dosing should be initiated at 0.05</w:t>
      </w:r>
      <w:r w:rsidR="002A0933">
        <w:rPr>
          <w:rFonts w:ascii="Arial" w:hAnsi="Arial" w:cs="Arial"/>
          <w:b/>
          <w:sz w:val="20"/>
          <w:szCs w:val="20"/>
        </w:rPr>
        <w:t xml:space="preserve"> </w:t>
      </w:r>
      <w:r w:rsidRPr="00542388">
        <w:rPr>
          <w:rFonts w:ascii="Arial" w:hAnsi="Arial" w:cs="Arial"/>
          <w:b/>
          <w:sz w:val="20"/>
          <w:szCs w:val="20"/>
        </w:rPr>
        <w:t>mg/kg BID with immediate-release forms of tacrolimus</w:t>
      </w:r>
      <w:r>
        <w:rPr>
          <w:rFonts w:ascii="Arial" w:hAnsi="Arial" w:cs="Arial"/>
          <w:sz w:val="20"/>
          <w:szCs w:val="20"/>
        </w:rPr>
        <w:t xml:space="preserve">. Oral tacrolimus is available in 0.5 mg, 1 mg, and 5mg capsules. </w:t>
      </w:r>
      <w:r w:rsidR="002A0933">
        <w:rPr>
          <w:rFonts w:ascii="Arial" w:hAnsi="Arial" w:cs="Arial"/>
          <w:sz w:val="20"/>
          <w:szCs w:val="20"/>
        </w:rPr>
        <w:t>The oral s</w:t>
      </w:r>
      <w:r>
        <w:rPr>
          <w:rFonts w:ascii="Arial" w:hAnsi="Arial" w:cs="Arial"/>
          <w:sz w:val="20"/>
          <w:szCs w:val="20"/>
        </w:rPr>
        <w:t xml:space="preserve">olution is available in the hospital as it is compounded, but </w:t>
      </w:r>
      <w:r w:rsidR="002A0933">
        <w:rPr>
          <w:rFonts w:ascii="Arial" w:hAnsi="Arial" w:cs="Arial"/>
          <w:sz w:val="20"/>
          <w:szCs w:val="20"/>
        </w:rPr>
        <w:t xml:space="preserve">it </w:t>
      </w:r>
      <w:r>
        <w:rPr>
          <w:rFonts w:ascii="Arial" w:hAnsi="Arial" w:cs="Arial"/>
          <w:sz w:val="20"/>
          <w:szCs w:val="20"/>
        </w:rPr>
        <w:t xml:space="preserve">may not easily available for outpatient use. </w:t>
      </w:r>
    </w:p>
    <w:p w14:paraId="6363E1AF" w14:textId="040FFD13" w:rsidR="002A0933" w:rsidRDefault="002A0933" w:rsidP="002A0933">
      <w:pPr>
        <w:spacing w:line="360" w:lineRule="auto"/>
        <w:jc w:val="both"/>
        <w:rPr>
          <w:rFonts w:ascii="Arial" w:hAnsi="Arial" w:cs="Arial"/>
          <w:b/>
          <w:spacing w:val="60"/>
          <w:sz w:val="20"/>
          <w:szCs w:val="20"/>
        </w:rPr>
      </w:pPr>
      <w:r>
        <w:rPr>
          <w:rFonts w:ascii="Arial" w:hAnsi="Arial" w:cs="Arial"/>
          <w:b/>
          <w:spacing w:val="60"/>
          <w:sz w:val="20"/>
          <w:szCs w:val="20"/>
        </w:rPr>
        <w:t>BLOOD CONCENTRATION MONITORING AND DOSAGE ADJUSTMENT</w:t>
      </w:r>
    </w:p>
    <w:p w14:paraId="59EA3349" w14:textId="17BC09A0" w:rsidR="00ED5F05" w:rsidRDefault="00ED5F05" w:rsidP="008777DD">
      <w:pPr>
        <w:spacing w:line="360" w:lineRule="auto"/>
        <w:jc w:val="both"/>
        <w:rPr>
          <w:rFonts w:ascii="Arial" w:hAnsi="Arial" w:cs="Arial"/>
          <w:sz w:val="20"/>
          <w:szCs w:val="20"/>
        </w:rPr>
      </w:pPr>
      <w:r>
        <w:rPr>
          <w:rFonts w:ascii="Arial" w:hAnsi="Arial" w:cs="Arial"/>
          <w:sz w:val="20"/>
          <w:szCs w:val="20"/>
        </w:rPr>
        <w:t xml:space="preserve">Similar to cyclosporine, the time to steady state concentrations averages 2-3 days. Timed or trough concentrations should be drawn 36-72 hours after initiation of therapy or change in dose. </w:t>
      </w:r>
      <w:r>
        <w:rPr>
          <w:rFonts w:ascii="Arial" w:hAnsi="Arial" w:cs="Arial"/>
          <w:sz w:val="20"/>
          <w:szCs w:val="20"/>
        </w:rPr>
        <w:br/>
      </w:r>
      <w:r w:rsidR="002421A4" w:rsidRPr="00542388">
        <w:rPr>
          <w:rFonts w:ascii="Arial" w:hAnsi="Arial" w:cs="Arial"/>
          <w:b/>
          <w:sz w:val="20"/>
          <w:szCs w:val="20"/>
        </w:rPr>
        <w:t>Trough goals for tacrolimus in the treatment of colitis are 10-15 ng/ml during the induction period and 5-10 ng/ml during the maintenance period.</w:t>
      </w:r>
      <w:r w:rsidR="002421A4">
        <w:rPr>
          <w:rFonts w:ascii="Arial" w:hAnsi="Arial" w:cs="Arial"/>
          <w:sz w:val="20"/>
          <w:szCs w:val="20"/>
        </w:rPr>
        <w:t xml:space="preserve"> </w:t>
      </w:r>
      <w:r>
        <w:rPr>
          <w:rFonts w:ascii="Arial" w:hAnsi="Arial" w:cs="Arial"/>
          <w:sz w:val="20"/>
          <w:szCs w:val="20"/>
        </w:rPr>
        <w:t>Trough concentrations which are above or below the desired range may be adjusted as follows:</w:t>
      </w:r>
    </w:p>
    <w:p w14:paraId="4EF71BBC" w14:textId="7A26246A" w:rsidR="00ED5F05" w:rsidRDefault="00ED5F05" w:rsidP="008777DD">
      <w:pPr>
        <w:spacing w:line="360" w:lineRule="auto"/>
        <w:jc w:val="both"/>
        <w:rPr>
          <w:rFonts w:ascii="Arial" w:hAnsi="Arial" w:cs="Arial"/>
          <w:sz w:val="20"/>
          <w:szCs w:val="20"/>
        </w:rPr>
      </w:pPr>
      <w:r>
        <w:rPr>
          <w:rFonts w:ascii="Arial" w:hAnsi="Arial" w:cs="Arial"/>
          <w:sz w:val="20"/>
          <w:szCs w:val="20"/>
        </w:rPr>
        <w:t>Induction period (first 14 days):</w:t>
      </w:r>
    </w:p>
    <w:p w14:paraId="244FEAF3" w14:textId="4B02AE89" w:rsidR="00ED5F05" w:rsidRDefault="00ED5F05" w:rsidP="008777DD">
      <w:pPr>
        <w:pStyle w:val="ListParagraph"/>
        <w:numPr>
          <w:ilvl w:val="0"/>
          <w:numId w:val="4"/>
        </w:numPr>
        <w:spacing w:line="360" w:lineRule="auto"/>
        <w:jc w:val="both"/>
        <w:rPr>
          <w:rFonts w:ascii="Arial" w:hAnsi="Arial" w:cs="Arial"/>
          <w:sz w:val="20"/>
          <w:szCs w:val="20"/>
        </w:rPr>
      </w:pPr>
      <w:r>
        <w:rPr>
          <w:rFonts w:ascii="Arial" w:hAnsi="Arial" w:cs="Arial"/>
          <w:sz w:val="20"/>
          <w:szCs w:val="20"/>
        </w:rPr>
        <w:t>Below 10 ng/mL: Increase dose by 20-30% and recheck concentration in 36-72 hours</w:t>
      </w:r>
    </w:p>
    <w:p w14:paraId="40EE8D6B" w14:textId="43D22AFB" w:rsidR="00ED5F05" w:rsidRDefault="00ED5F05" w:rsidP="008777DD">
      <w:pPr>
        <w:pStyle w:val="ListParagraph"/>
        <w:numPr>
          <w:ilvl w:val="0"/>
          <w:numId w:val="4"/>
        </w:numPr>
        <w:spacing w:line="360" w:lineRule="auto"/>
        <w:jc w:val="both"/>
        <w:rPr>
          <w:rFonts w:ascii="Arial" w:hAnsi="Arial" w:cs="Arial"/>
          <w:sz w:val="20"/>
          <w:szCs w:val="20"/>
        </w:rPr>
      </w:pPr>
      <w:r>
        <w:rPr>
          <w:rFonts w:ascii="Arial" w:hAnsi="Arial" w:cs="Arial"/>
          <w:sz w:val="20"/>
          <w:szCs w:val="20"/>
        </w:rPr>
        <w:t>16-18 ng/mL: Decrease dose by 20-30% and recheck concentration in 36-72 hours</w:t>
      </w:r>
    </w:p>
    <w:p w14:paraId="70C7C229" w14:textId="2B354AB2" w:rsidR="00ED5F05" w:rsidRDefault="00ED5F05" w:rsidP="008777DD">
      <w:pPr>
        <w:pStyle w:val="ListParagraph"/>
        <w:numPr>
          <w:ilvl w:val="0"/>
          <w:numId w:val="4"/>
        </w:numPr>
        <w:spacing w:line="360" w:lineRule="auto"/>
        <w:jc w:val="both"/>
        <w:rPr>
          <w:rFonts w:ascii="Arial" w:hAnsi="Arial" w:cs="Arial"/>
          <w:sz w:val="20"/>
          <w:szCs w:val="20"/>
        </w:rPr>
      </w:pPr>
      <w:r>
        <w:rPr>
          <w:rFonts w:ascii="Arial" w:hAnsi="Arial" w:cs="Arial"/>
          <w:sz w:val="20"/>
          <w:szCs w:val="20"/>
        </w:rPr>
        <w:t xml:space="preserve">&gt; 18 ng/mL: Hold dose for 12 hours, decrease dose by 30%, recheck concentration daily. </w:t>
      </w:r>
    </w:p>
    <w:p w14:paraId="367F4FED" w14:textId="19D51140" w:rsidR="00ED5F05" w:rsidRDefault="00ED5F05" w:rsidP="008777DD">
      <w:pPr>
        <w:pStyle w:val="ListParagraph"/>
        <w:numPr>
          <w:ilvl w:val="0"/>
          <w:numId w:val="4"/>
        </w:numPr>
        <w:spacing w:line="360" w:lineRule="auto"/>
        <w:jc w:val="both"/>
        <w:rPr>
          <w:rFonts w:ascii="Arial" w:hAnsi="Arial" w:cs="Arial"/>
          <w:sz w:val="20"/>
          <w:szCs w:val="20"/>
        </w:rPr>
      </w:pPr>
      <w:r>
        <w:rPr>
          <w:rFonts w:ascii="Arial" w:hAnsi="Arial" w:cs="Arial"/>
          <w:sz w:val="20"/>
          <w:szCs w:val="20"/>
        </w:rPr>
        <w:t xml:space="preserve">If serum creatinine increases by 30% or neurological side effects, consider decrease in dose even if </w:t>
      </w:r>
      <w:r w:rsidR="007D3316">
        <w:rPr>
          <w:rFonts w:ascii="Arial" w:hAnsi="Arial" w:cs="Arial"/>
          <w:sz w:val="20"/>
          <w:szCs w:val="20"/>
        </w:rPr>
        <w:t xml:space="preserve">concentration is </w:t>
      </w:r>
      <w:r>
        <w:rPr>
          <w:rFonts w:ascii="Arial" w:hAnsi="Arial" w:cs="Arial"/>
          <w:sz w:val="20"/>
          <w:szCs w:val="20"/>
        </w:rPr>
        <w:t xml:space="preserve">in therapeutic range. </w:t>
      </w:r>
    </w:p>
    <w:p w14:paraId="14AAAC5F" w14:textId="5435CD9F" w:rsidR="007D3316" w:rsidRDefault="007D3316" w:rsidP="008777DD">
      <w:pPr>
        <w:spacing w:line="360" w:lineRule="auto"/>
        <w:jc w:val="both"/>
        <w:rPr>
          <w:rFonts w:ascii="Arial" w:hAnsi="Arial" w:cs="Arial"/>
          <w:sz w:val="20"/>
          <w:szCs w:val="20"/>
        </w:rPr>
      </w:pPr>
      <w:r>
        <w:rPr>
          <w:rFonts w:ascii="Arial" w:hAnsi="Arial" w:cs="Arial"/>
          <w:sz w:val="20"/>
          <w:szCs w:val="20"/>
        </w:rPr>
        <w:t xml:space="preserve">Maintenance period: </w:t>
      </w:r>
    </w:p>
    <w:p w14:paraId="1B9C536F" w14:textId="77777777" w:rsidR="008777DD" w:rsidRDefault="007D3316" w:rsidP="00001831">
      <w:pPr>
        <w:pStyle w:val="ListParagraph"/>
        <w:numPr>
          <w:ilvl w:val="0"/>
          <w:numId w:val="9"/>
        </w:numPr>
        <w:spacing w:line="360" w:lineRule="auto"/>
        <w:jc w:val="both"/>
        <w:rPr>
          <w:rFonts w:ascii="Arial" w:hAnsi="Arial" w:cs="Arial"/>
          <w:sz w:val="20"/>
          <w:szCs w:val="20"/>
        </w:rPr>
      </w:pPr>
      <w:r w:rsidRPr="008777DD">
        <w:rPr>
          <w:rFonts w:ascii="Arial" w:hAnsi="Arial" w:cs="Arial"/>
          <w:sz w:val="20"/>
          <w:szCs w:val="20"/>
        </w:rPr>
        <w:t>Below 5</w:t>
      </w:r>
      <w:r w:rsidR="008777DD" w:rsidRPr="008777DD">
        <w:rPr>
          <w:rFonts w:ascii="Arial" w:hAnsi="Arial" w:cs="Arial"/>
          <w:sz w:val="20"/>
          <w:szCs w:val="20"/>
        </w:rPr>
        <w:t xml:space="preserve"> </w:t>
      </w:r>
      <w:r w:rsidRPr="008777DD">
        <w:rPr>
          <w:rFonts w:ascii="Arial" w:hAnsi="Arial" w:cs="Arial"/>
          <w:sz w:val="20"/>
          <w:szCs w:val="20"/>
        </w:rPr>
        <w:t>ng/mL: Increase dose by 20-30% and recheck concentration in 36-72 hours</w:t>
      </w:r>
    </w:p>
    <w:p w14:paraId="42AE3F4F" w14:textId="77777777" w:rsidR="008777DD" w:rsidRDefault="007D3316" w:rsidP="00E92ACE">
      <w:pPr>
        <w:pStyle w:val="ListParagraph"/>
        <w:numPr>
          <w:ilvl w:val="0"/>
          <w:numId w:val="9"/>
        </w:numPr>
        <w:spacing w:line="360" w:lineRule="auto"/>
        <w:jc w:val="both"/>
        <w:rPr>
          <w:rFonts w:ascii="Arial" w:hAnsi="Arial" w:cs="Arial"/>
          <w:sz w:val="20"/>
          <w:szCs w:val="20"/>
        </w:rPr>
      </w:pPr>
      <w:r w:rsidRPr="008777DD">
        <w:rPr>
          <w:rFonts w:ascii="Arial" w:hAnsi="Arial" w:cs="Arial"/>
          <w:sz w:val="20"/>
          <w:szCs w:val="20"/>
        </w:rPr>
        <w:t>11-15 ng/mL: Decrease dose by 20-30% and recheck concentration in 36-72 hours</w:t>
      </w:r>
    </w:p>
    <w:p w14:paraId="6959F26F" w14:textId="00DEE698" w:rsidR="008777DD" w:rsidRDefault="007D3316" w:rsidP="00630CAA">
      <w:pPr>
        <w:pStyle w:val="ListParagraph"/>
        <w:numPr>
          <w:ilvl w:val="0"/>
          <w:numId w:val="9"/>
        </w:numPr>
        <w:spacing w:line="360" w:lineRule="auto"/>
        <w:jc w:val="both"/>
        <w:rPr>
          <w:rFonts w:ascii="Arial" w:hAnsi="Arial" w:cs="Arial"/>
          <w:sz w:val="20"/>
          <w:szCs w:val="20"/>
        </w:rPr>
      </w:pPr>
      <w:r w:rsidRPr="008777DD">
        <w:rPr>
          <w:rFonts w:ascii="Arial" w:hAnsi="Arial" w:cs="Arial"/>
          <w:sz w:val="20"/>
          <w:szCs w:val="20"/>
        </w:rPr>
        <w:t xml:space="preserve">&gt; 15 ng/mL: Hold dose for 12 hours, decrease dose by 30%, recheck concentration daily. </w:t>
      </w:r>
    </w:p>
    <w:p w14:paraId="407DCA75" w14:textId="3D0D231D" w:rsidR="00B45155" w:rsidRPr="008777DD" w:rsidRDefault="008777DD" w:rsidP="004B3D86">
      <w:pPr>
        <w:pStyle w:val="ListParagraph"/>
        <w:numPr>
          <w:ilvl w:val="0"/>
          <w:numId w:val="9"/>
        </w:numPr>
        <w:spacing w:line="360" w:lineRule="auto"/>
        <w:jc w:val="both"/>
        <w:rPr>
          <w:rFonts w:ascii="Arial" w:hAnsi="Arial" w:cs="Arial"/>
          <w:sz w:val="20"/>
          <w:szCs w:val="20"/>
        </w:rPr>
      </w:pPr>
      <w:r>
        <w:rPr>
          <w:rFonts w:ascii="Arial" w:hAnsi="Arial" w:cs="Arial"/>
          <w:sz w:val="20"/>
          <w:szCs w:val="20"/>
        </w:rPr>
        <w:t>I</w:t>
      </w:r>
      <w:r w:rsidR="007D3316" w:rsidRPr="008777DD">
        <w:rPr>
          <w:rFonts w:ascii="Arial" w:hAnsi="Arial" w:cs="Arial"/>
          <w:sz w:val="20"/>
          <w:szCs w:val="20"/>
        </w:rPr>
        <w:t xml:space="preserve">f serum creatinine increases by 30% or neurological side effects, consider decrease in dose even </w:t>
      </w:r>
      <w:r>
        <w:rPr>
          <w:rFonts w:ascii="Arial" w:hAnsi="Arial" w:cs="Arial"/>
          <w:sz w:val="20"/>
          <w:szCs w:val="20"/>
        </w:rPr>
        <w:t xml:space="preserve">if the </w:t>
      </w:r>
      <w:r w:rsidR="007D3316" w:rsidRPr="008777DD">
        <w:rPr>
          <w:rFonts w:ascii="Arial" w:hAnsi="Arial" w:cs="Arial"/>
          <w:sz w:val="20"/>
          <w:szCs w:val="20"/>
        </w:rPr>
        <w:t xml:space="preserve">concentration is in therapeutic range. </w:t>
      </w:r>
    </w:p>
    <w:p w14:paraId="64B4F255" w14:textId="5E97759D" w:rsidR="002A0933" w:rsidRDefault="002A0933" w:rsidP="00CF1C50">
      <w:pPr>
        <w:spacing w:line="360" w:lineRule="auto"/>
        <w:jc w:val="both"/>
        <w:rPr>
          <w:rFonts w:ascii="Arial" w:hAnsi="Arial" w:cs="Arial"/>
          <w:sz w:val="20"/>
          <w:szCs w:val="20"/>
        </w:rPr>
      </w:pPr>
      <w:r>
        <w:rPr>
          <w:rFonts w:ascii="Arial" w:hAnsi="Arial" w:cs="Arial"/>
          <w:b/>
          <w:spacing w:val="60"/>
          <w:sz w:val="20"/>
          <w:szCs w:val="20"/>
        </w:rPr>
        <w:t>ADDITIONAL INFORMATION</w:t>
      </w:r>
    </w:p>
    <w:p w14:paraId="4A51DE9E" w14:textId="5F19328B" w:rsidR="00B37195" w:rsidRDefault="00CF1C50" w:rsidP="00CF1C50">
      <w:pPr>
        <w:spacing w:line="360" w:lineRule="auto"/>
        <w:jc w:val="both"/>
        <w:rPr>
          <w:rFonts w:ascii="Arial" w:hAnsi="Arial" w:cs="Arial"/>
          <w:sz w:val="20"/>
          <w:szCs w:val="20"/>
        </w:rPr>
      </w:pPr>
      <w:r w:rsidRPr="00CF1C50">
        <w:rPr>
          <w:rFonts w:ascii="Arial" w:hAnsi="Arial" w:cs="Arial"/>
          <w:sz w:val="20"/>
          <w:szCs w:val="20"/>
        </w:rPr>
        <w:t xml:space="preserve">For assistance with this guideline, consult your </w:t>
      </w:r>
      <w:r w:rsidR="00B45155">
        <w:rPr>
          <w:rFonts w:ascii="Arial" w:hAnsi="Arial" w:cs="Arial"/>
          <w:sz w:val="20"/>
          <w:szCs w:val="20"/>
        </w:rPr>
        <w:t>clinical service</w:t>
      </w:r>
      <w:r w:rsidRPr="00CF1C50">
        <w:rPr>
          <w:rFonts w:ascii="Arial" w:hAnsi="Arial" w:cs="Arial"/>
          <w:sz w:val="20"/>
          <w:szCs w:val="20"/>
        </w:rPr>
        <w:t xml:space="preserve"> pharmacist or contact the clinical pharmacist on call (pager 347-1464).</w:t>
      </w:r>
    </w:p>
    <w:p w14:paraId="5D70D6CC" w14:textId="77777777" w:rsidR="002A0933" w:rsidRDefault="002A0933" w:rsidP="002A0933">
      <w:pPr>
        <w:spacing w:line="360" w:lineRule="auto"/>
        <w:jc w:val="both"/>
        <w:rPr>
          <w:rFonts w:ascii="Arial" w:hAnsi="Arial" w:cs="Arial"/>
          <w:b/>
          <w:spacing w:val="60"/>
          <w:sz w:val="20"/>
          <w:szCs w:val="20"/>
        </w:rPr>
      </w:pPr>
    </w:p>
    <w:p w14:paraId="328F803D" w14:textId="77777777" w:rsidR="002A0933" w:rsidRDefault="002A0933" w:rsidP="002A0933">
      <w:pPr>
        <w:spacing w:line="360" w:lineRule="auto"/>
        <w:jc w:val="both"/>
        <w:rPr>
          <w:rFonts w:ascii="Arial" w:hAnsi="Arial" w:cs="Arial"/>
          <w:b/>
          <w:spacing w:val="60"/>
          <w:sz w:val="20"/>
          <w:szCs w:val="20"/>
        </w:rPr>
      </w:pPr>
    </w:p>
    <w:p w14:paraId="74610035" w14:textId="4B0FA73C" w:rsidR="00B25856" w:rsidRPr="008777DD" w:rsidRDefault="002A0933" w:rsidP="002A0933">
      <w:pPr>
        <w:spacing w:line="360" w:lineRule="auto"/>
        <w:jc w:val="both"/>
        <w:rPr>
          <w:rFonts w:ascii="Calibri" w:eastAsia="Calibri" w:hAnsi="Calibri" w:cs="Times New Roman"/>
          <w:b/>
          <w:sz w:val="24"/>
          <w:szCs w:val="24"/>
        </w:rPr>
      </w:pPr>
      <w:r>
        <w:rPr>
          <w:rFonts w:ascii="Arial" w:hAnsi="Arial" w:cs="Arial"/>
          <w:b/>
          <w:spacing w:val="60"/>
          <w:sz w:val="20"/>
          <w:szCs w:val="20"/>
        </w:rPr>
        <w:t xml:space="preserve">REFERENCES </w:t>
      </w:r>
    </w:p>
    <w:p w14:paraId="6CC9D1A1" w14:textId="534A3DB4" w:rsidR="0038464E" w:rsidRPr="002A0933" w:rsidRDefault="0038464E" w:rsidP="002A0933">
      <w:pPr>
        <w:pStyle w:val="ListParagraph"/>
        <w:numPr>
          <w:ilvl w:val="0"/>
          <w:numId w:val="10"/>
        </w:numPr>
        <w:spacing w:after="160" w:line="259" w:lineRule="auto"/>
        <w:rPr>
          <w:rFonts w:ascii="Arial" w:eastAsia="Calibri" w:hAnsi="Arial" w:cs="Arial"/>
          <w:sz w:val="20"/>
          <w:szCs w:val="20"/>
        </w:rPr>
      </w:pPr>
      <w:proofErr w:type="spellStart"/>
      <w:r w:rsidRPr="002A0933">
        <w:rPr>
          <w:rFonts w:ascii="Arial" w:eastAsia="Calibri" w:hAnsi="Arial" w:cs="Arial"/>
          <w:sz w:val="20"/>
          <w:szCs w:val="20"/>
        </w:rPr>
        <w:t>Ordas</w:t>
      </w:r>
      <w:proofErr w:type="spellEnd"/>
      <w:r w:rsidRPr="002A0933">
        <w:rPr>
          <w:rFonts w:ascii="Arial" w:eastAsia="Calibri" w:hAnsi="Arial" w:cs="Arial"/>
          <w:sz w:val="20"/>
          <w:szCs w:val="20"/>
        </w:rPr>
        <w:t xml:space="preserve"> I</w:t>
      </w:r>
      <w:r w:rsidR="006515EB">
        <w:rPr>
          <w:rFonts w:ascii="Arial" w:eastAsia="Calibri" w:hAnsi="Arial" w:cs="Arial"/>
          <w:sz w:val="20"/>
          <w:szCs w:val="20"/>
        </w:rPr>
        <w:t>,</w:t>
      </w:r>
      <w:r w:rsidRPr="002A0933">
        <w:rPr>
          <w:rFonts w:ascii="Arial" w:eastAsia="Calibri" w:hAnsi="Arial" w:cs="Arial"/>
          <w:sz w:val="20"/>
          <w:szCs w:val="20"/>
        </w:rPr>
        <w:t xml:space="preserve"> et al. Long-Term Efficacy and Safety of Cyclosporine in a Cohort of Steroid-Refractory Acute Severe Ulcerative Colitis Patients from the ENIEDA Registry (1989-2013): A Nationwide Multicenter Study.  </w:t>
      </w:r>
      <w:proofErr w:type="spellStart"/>
      <w:r w:rsidRPr="002A0933">
        <w:rPr>
          <w:rFonts w:ascii="Arial" w:eastAsia="Calibri" w:hAnsi="Arial" w:cs="Arial"/>
          <w:sz w:val="20"/>
          <w:szCs w:val="20"/>
        </w:rPr>
        <w:t>AmJ</w:t>
      </w:r>
      <w:proofErr w:type="spellEnd"/>
      <w:r w:rsidRPr="002A0933">
        <w:rPr>
          <w:rFonts w:ascii="Arial" w:eastAsia="Calibri" w:hAnsi="Arial" w:cs="Arial"/>
          <w:sz w:val="20"/>
          <w:szCs w:val="20"/>
        </w:rPr>
        <w:t xml:space="preserve"> Gastroenterol 2017; 112:1709</w:t>
      </w:r>
      <w:r w:rsidR="007572E7" w:rsidRPr="002A0933">
        <w:rPr>
          <w:rFonts w:ascii="Arial" w:eastAsia="Calibri" w:hAnsi="Arial" w:cs="Arial"/>
          <w:sz w:val="20"/>
          <w:szCs w:val="20"/>
        </w:rPr>
        <w:t>-1718.</w:t>
      </w:r>
    </w:p>
    <w:p w14:paraId="74A3EF86" w14:textId="3430F8D3" w:rsidR="007572E7" w:rsidRPr="002A0933" w:rsidRDefault="007572E7" w:rsidP="002A0933">
      <w:pPr>
        <w:pStyle w:val="ListParagraph"/>
        <w:numPr>
          <w:ilvl w:val="0"/>
          <w:numId w:val="10"/>
        </w:numPr>
        <w:spacing w:before="240" w:after="160" w:line="259" w:lineRule="auto"/>
        <w:rPr>
          <w:rFonts w:ascii="Arial" w:eastAsia="Calibri" w:hAnsi="Arial" w:cs="Arial"/>
          <w:sz w:val="20"/>
          <w:szCs w:val="20"/>
        </w:rPr>
      </w:pPr>
      <w:r w:rsidRPr="002A0933">
        <w:rPr>
          <w:rFonts w:ascii="Arial" w:eastAsia="Calibri" w:hAnsi="Arial" w:cs="Arial"/>
          <w:sz w:val="20"/>
          <w:szCs w:val="20"/>
        </w:rPr>
        <w:t xml:space="preserve">Williams, JG et al. </w:t>
      </w:r>
      <w:proofErr w:type="spellStart"/>
      <w:r w:rsidRPr="002A0933">
        <w:rPr>
          <w:rFonts w:ascii="Arial" w:eastAsia="Calibri" w:hAnsi="Arial" w:cs="Arial"/>
          <w:sz w:val="20"/>
          <w:szCs w:val="20"/>
        </w:rPr>
        <w:t>Inliximab</w:t>
      </w:r>
      <w:proofErr w:type="spellEnd"/>
      <w:r w:rsidRPr="002A0933">
        <w:rPr>
          <w:rFonts w:ascii="Arial" w:eastAsia="Calibri" w:hAnsi="Arial" w:cs="Arial"/>
          <w:sz w:val="20"/>
          <w:szCs w:val="20"/>
        </w:rPr>
        <w:t xml:space="preserve"> versus ciclosporin for steroid-resistant acute severe ulcerative colitis (CONSTRUCT): a </w:t>
      </w:r>
      <w:proofErr w:type="gramStart"/>
      <w:r w:rsidRPr="002A0933">
        <w:rPr>
          <w:rFonts w:ascii="Arial" w:eastAsia="Calibri" w:hAnsi="Arial" w:cs="Arial"/>
          <w:sz w:val="20"/>
          <w:szCs w:val="20"/>
        </w:rPr>
        <w:t>mixed methods</w:t>
      </w:r>
      <w:proofErr w:type="gramEnd"/>
      <w:r w:rsidRPr="002A0933">
        <w:rPr>
          <w:rFonts w:ascii="Arial" w:eastAsia="Calibri" w:hAnsi="Arial" w:cs="Arial"/>
          <w:sz w:val="20"/>
          <w:szCs w:val="20"/>
        </w:rPr>
        <w:t xml:space="preserve">, open-label, pragmatic randomized trial.  Lancet Gastroenterol </w:t>
      </w:r>
      <w:proofErr w:type="spellStart"/>
      <w:r w:rsidRPr="002A0933">
        <w:rPr>
          <w:rFonts w:ascii="Arial" w:eastAsia="Calibri" w:hAnsi="Arial" w:cs="Arial"/>
          <w:sz w:val="20"/>
          <w:szCs w:val="20"/>
        </w:rPr>
        <w:t>Hepatol</w:t>
      </w:r>
      <w:proofErr w:type="spellEnd"/>
      <w:r w:rsidRPr="002A0933">
        <w:rPr>
          <w:rFonts w:ascii="Arial" w:eastAsia="Calibri" w:hAnsi="Arial" w:cs="Arial"/>
          <w:sz w:val="20"/>
          <w:szCs w:val="20"/>
        </w:rPr>
        <w:t>. 2016 Sep; 1(1): 15-24.</w:t>
      </w:r>
    </w:p>
    <w:p w14:paraId="6E1B7B50" w14:textId="776AF26A" w:rsidR="007572E7" w:rsidRPr="002A0933" w:rsidRDefault="006515EB" w:rsidP="002A0933">
      <w:pPr>
        <w:pStyle w:val="ListParagraph"/>
        <w:numPr>
          <w:ilvl w:val="0"/>
          <w:numId w:val="10"/>
        </w:numPr>
        <w:spacing w:before="240" w:after="160" w:line="259" w:lineRule="auto"/>
        <w:rPr>
          <w:rFonts w:ascii="Arial" w:eastAsia="Calibri" w:hAnsi="Arial" w:cs="Arial"/>
          <w:sz w:val="20"/>
          <w:szCs w:val="20"/>
        </w:rPr>
      </w:pPr>
      <w:r>
        <w:rPr>
          <w:rFonts w:ascii="Arial" w:eastAsia="Calibri" w:hAnsi="Arial" w:cs="Arial"/>
          <w:sz w:val="20"/>
          <w:szCs w:val="20"/>
        </w:rPr>
        <w:t>Ogata</w:t>
      </w:r>
      <w:r w:rsidR="007572E7" w:rsidRPr="002A0933">
        <w:rPr>
          <w:rFonts w:ascii="Arial" w:eastAsia="Calibri" w:hAnsi="Arial" w:cs="Arial"/>
          <w:sz w:val="20"/>
          <w:szCs w:val="20"/>
        </w:rPr>
        <w:t xml:space="preserve"> H</w:t>
      </w:r>
      <w:r>
        <w:rPr>
          <w:rFonts w:ascii="Arial" w:eastAsia="Calibri" w:hAnsi="Arial" w:cs="Arial"/>
          <w:sz w:val="20"/>
          <w:szCs w:val="20"/>
        </w:rPr>
        <w:t>,</w:t>
      </w:r>
      <w:r w:rsidR="007572E7" w:rsidRPr="002A0933">
        <w:rPr>
          <w:rFonts w:ascii="Arial" w:eastAsia="Calibri" w:hAnsi="Arial" w:cs="Arial"/>
          <w:sz w:val="20"/>
          <w:szCs w:val="20"/>
        </w:rPr>
        <w:t xml:space="preserve"> et al. Double-Blind, Placebo-Controlled Trial of Oral Tacrolimus (FK06) in the Management of Hospitalized Patients with Steroid-Refractory Ulcerative Colitis.  </w:t>
      </w:r>
      <w:proofErr w:type="spellStart"/>
      <w:r w:rsidR="007572E7" w:rsidRPr="002A0933">
        <w:rPr>
          <w:rFonts w:ascii="Arial" w:eastAsia="Calibri" w:hAnsi="Arial" w:cs="Arial"/>
          <w:sz w:val="20"/>
          <w:szCs w:val="20"/>
        </w:rPr>
        <w:t>Inflamm</w:t>
      </w:r>
      <w:proofErr w:type="spellEnd"/>
      <w:r w:rsidR="007572E7" w:rsidRPr="002A0933">
        <w:rPr>
          <w:rFonts w:ascii="Arial" w:eastAsia="Calibri" w:hAnsi="Arial" w:cs="Arial"/>
          <w:sz w:val="20"/>
          <w:szCs w:val="20"/>
        </w:rPr>
        <w:t xml:space="preserve"> Bowel Dis 2012: 18:803-808.</w:t>
      </w:r>
    </w:p>
    <w:p w14:paraId="33E5839D" w14:textId="60B2A923" w:rsidR="00335748" w:rsidRPr="002A0933" w:rsidRDefault="006515EB" w:rsidP="002A0933">
      <w:pPr>
        <w:pStyle w:val="ListParagraph"/>
        <w:numPr>
          <w:ilvl w:val="0"/>
          <w:numId w:val="10"/>
        </w:numPr>
        <w:spacing w:after="160" w:line="259" w:lineRule="auto"/>
        <w:rPr>
          <w:rFonts w:ascii="Arial" w:eastAsia="Calibri" w:hAnsi="Arial" w:cs="Arial"/>
          <w:sz w:val="20"/>
          <w:szCs w:val="20"/>
        </w:rPr>
      </w:pPr>
      <w:r>
        <w:rPr>
          <w:rFonts w:ascii="Arial" w:eastAsia="Calibri" w:hAnsi="Arial" w:cs="Arial"/>
          <w:sz w:val="20"/>
          <w:szCs w:val="20"/>
        </w:rPr>
        <w:t xml:space="preserve">Van </w:t>
      </w:r>
      <w:proofErr w:type="spellStart"/>
      <w:r>
        <w:rPr>
          <w:rFonts w:ascii="Arial" w:eastAsia="Calibri" w:hAnsi="Arial" w:cs="Arial"/>
          <w:sz w:val="20"/>
          <w:szCs w:val="20"/>
        </w:rPr>
        <w:t>Assche</w:t>
      </w:r>
      <w:proofErr w:type="spellEnd"/>
      <w:r w:rsidR="007572E7" w:rsidRPr="002A0933">
        <w:rPr>
          <w:rFonts w:ascii="Arial" w:eastAsia="Calibri" w:hAnsi="Arial" w:cs="Arial"/>
          <w:sz w:val="20"/>
          <w:szCs w:val="20"/>
        </w:rPr>
        <w:t xml:space="preserve"> G</w:t>
      </w:r>
      <w:r>
        <w:rPr>
          <w:rFonts w:ascii="Arial" w:eastAsia="Calibri" w:hAnsi="Arial" w:cs="Arial"/>
          <w:sz w:val="20"/>
          <w:szCs w:val="20"/>
        </w:rPr>
        <w:t>,</w:t>
      </w:r>
      <w:r w:rsidR="007572E7" w:rsidRPr="002A0933">
        <w:rPr>
          <w:rFonts w:ascii="Arial" w:eastAsia="Calibri" w:hAnsi="Arial" w:cs="Arial"/>
          <w:sz w:val="20"/>
          <w:szCs w:val="20"/>
        </w:rPr>
        <w:t xml:space="preserve"> et al; Randomized, Double-Blind Comparison of 4mg/kg vs 2mg/kg Intravenous Cyclosporine in Severe Ulcerative Colitis. Gastroenterology 2003; 125:1025-1031</w:t>
      </w:r>
    </w:p>
    <w:p w14:paraId="6DE9212B" w14:textId="54F02B78" w:rsidR="00335748" w:rsidRPr="002A0933" w:rsidRDefault="00335748" w:rsidP="002A0933">
      <w:pPr>
        <w:pStyle w:val="ListParagraph"/>
        <w:numPr>
          <w:ilvl w:val="0"/>
          <w:numId w:val="10"/>
        </w:numPr>
        <w:spacing w:after="160" w:line="259" w:lineRule="auto"/>
        <w:rPr>
          <w:rFonts w:ascii="Arial" w:eastAsia="Calibri" w:hAnsi="Arial" w:cs="Arial"/>
          <w:sz w:val="20"/>
          <w:szCs w:val="20"/>
        </w:rPr>
      </w:pPr>
      <w:proofErr w:type="spellStart"/>
      <w:r w:rsidRPr="002A0933">
        <w:rPr>
          <w:rFonts w:ascii="Arial" w:eastAsia="Calibri" w:hAnsi="Arial" w:cs="Arial"/>
          <w:sz w:val="20"/>
          <w:szCs w:val="20"/>
        </w:rPr>
        <w:t>Laharie</w:t>
      </w:r>
      <w:proofErr w:type="spellEnd"/>
      <w:r w:rsidRPr="002A0933">
        <w:rPr>
          <w:rFonts w:ascii="Arial" w:eastAsia="Calibri" w:hAnsi="Arial" w:cs="Arial"/>
          <w:sz w:val="20"/>
          <w:szCs w:val="20"/>
        </w:rPr>
        <w:t xml:space="preserve"> D</w:t>
      </w:r>
      <w:r w:rsidR="006515EB">
        <w:rPr>
          <w:rFonts w:ascii="Arial" w:eastAsia="Calibri" w:hAnsi="Arial" w:cs="Arial"/>
          <w:sz w:val="20"/>
          <w:szCs w:val="20"/>
        </w:rPr>
        <w:t>,</w:t>
      </w:r>
      <w:r w:rsidRPr="002A0933">
        <w:rPr>
          <w:rFonts w:ascii="Arial" w:eastAsia="Calibri" w:hAnsi="Arial" w:cs="Arial"/>
          <w:sz w:val="20"/>
          <w:szCs w:val="20"/>
        </w:rPr>
        <w:t xml:space="preserve"> et al; Ciclosporin versus infliximab in patients with severe ulcerative colitis refractory in intravenous </w:t>
      </w:r>
      <w:proofErr w:type="spellStart"/>
      <w:r w:rsidRPr="002A0933">
        <w:rPr>
          <w:rFonts w:ascii="Arial" w:eastAsia="Calibri" w:hAnsi="Arial" w:cs="Arial"/>
          <w:sz w:val="20"/>
          <w:szCs w:val="20"/>
        </w:rPr>
        <w:t>sterolids</w:t>
      </w:r>
      <w:proofErr w:type="spellEnd"/>
      <w:r w:rsidRPr="002A0933">
        <w:rPr>
          <w:rFonts w:ascii="Arial" w:eastAsia="Calibri" w:hAnsi="Arial" w:cs="Arial"/>
          <w:sz w:val="20"/>
          <w:szCs w:val="20"/>
        </w:rPr>
        <w:t xml:space="preserve">: a parallel, open-label randomized controlled trial. Lancet 2012; 380: 1909-15. </w:t>
      </w:r>
    </w:p>
    <w:p w14:paraId="700DA920" w14:textId="339DD90C" w:rsidR="00B10D46" w:rsidRPr="002A0933" w:rsidRDefault="00B10D46" w:rsidP="002A0933">
      <w:pPr>
        <w:pStyle w:val="ListParagraph"/>
        <w:numPr>
          <w:ilvl w:val="0"/>
          <w:numId w:val="10"/>
        </w:numPr>
        <w:spacing w:after="160" w:line="259" w:lineRule="auto"/>
        <w:rPr>
          <w:rFonts w:ascii="Arial" w:eastAsia="Calibri" w:hAnsi="Arial" w:cs="Arial"/>
          <w:sz w:val="20"/>
          <w:szCs w:val="20"/>
        </w:rPr>
      </w:pPr>
      <w:r w:rsidRPr="002A0933">
        <w:rPr>
          <w:rFonts w:ascii="Arial" w:eastAsia="Calibri" w:hAnsi="Arial" w:cs="Arial"/>
          <w:sz w:val="20"/>
          <w:szCs w:val="20"/>
        </w:rPr>
        <w:t>Kawakami, K</w:t>
      </w:r>
      <w:r w:rsidR="006515EB">
        <w:rPr>
          <w:rFonts w:ascii="Arial" w:eastAsia="Calibri" w:hAnsi="Arial" w:cs="Arial"/>
          <w:sz w:val="20"/>
          <w:szCs w:val="20"/>
        </w:rPr>
        <w:t xml:space="preserve">, </w:t>
      </w:r>
      <w:r w:rsidRPr="002A0933">
        <w:rPr>
          <w:rFonts w:ascii="Arial" w:eastAsia="Calibri" w:hAnsi="Arial" w:cs="Arial"/>
          <w:sz w:val="20"/>
          <w:szCs w:val="20"/>
        </w:rPr>
        <w:t>et al.  Effects of oral tacrolimus as a rapid induction therapy in ulcerative colitis. World J Gastroenterol. 2015 Feb 14; 21(6): 1880-1886.</w:t>
      </w:r>
    </w:p>
    <w:p w14:paraId="540D55C0" w14:textId="48A28191" w:rsidR="00B10D46" w:rsidRPr="002A0933" w:rsidRDefault="006515EB" w:rsidP="002A0933">
      <w:pPr>
        <w:pStyle w:val="ListParagraph"/>
        <w:numPr>
          <w:ilvl w:val="0"/>
          <w:numId w:val="10"/>
        </w:numPr>
        <w:spacing w:after="160" w:line="259" w:lineRule="auto"/>
        <w:rPr>
          <w:rFonts w:ascii="Arial" w:eastAsia="Calibri" w:hAnsi="Arial" w:cs="Arial"/>
          <w:sz w:val="20"/>
          <w:szCs w:val="20"/>
        </w:rPr>
      </w:pPr>
      <w:r>
        <w:rPr>
          <w:rFonts w:ascii="Arial" w:eastAsia="Calibri" w:hAnsi="Arial" w:cs="Arial"/>
          <w:sz w:val="20"/>
          <w:szCs w:val="20"/>
        </w:rPr>
        <w:t>Miyoshi</w:t>
      </w:r>
      <w:r w:rsidR="00B10D46" w:rsidRPr="002A0933">
        <w:rPr>
          <w:rFonts w:ascii="Arial" w:eastAsia="Calibri" w:hAnsi="Arial" w:cs="Arial"/>
          <w:sz w:val="20"/>
          <w:szCs w:val="20"/>
        </w:rPr>
        <w:t xml:space="preserve"> J</w:t>
      </w:r>
      <w:r>
        <w:rPr>
          <w:rFonts w:ascii="Arial" w:eastAsia="Calibri" w:hAnsi="Arial" w:cs="Arial"/>
          <w:sz w:val="20"/>
          <w:szCs w:val="20"/>
        </w:rPr>
        <w:t>,</w:t>
      </w:r>
      <w:r w:rsidR="00B10D46" w:rsidRPr="002A0933">
        <w:rPr>
          <w:rFonts w:ascii="Arial" w:eastAsia="Calibri" w:hAnsi="Arial" w:cs="Arial"/>
          <w:sz w:val="20"/>
          <w:szCs w:val="20"/>
        </w:rPr>
        <w:t xml:space="preserve"> et al.  Mucosal healing with oral tacrolimus is associated with favorable medium- and long-term prognosis in steroid-refractory/dependent ulcerative colitis patients.  Journal of Crohn’s and Colitis (2013) 7: 609-614.</w:t>
      </w:r>
    </w:p>
    <w:p w14:paraId="009FCEB5" w14:textId="7721F711" w:rsidR="00B10D46" w:rsidRDefault="006515EB" w:rsidP="002A0933">
      <w:pPr>
        <w:pStyle w:val="ListParagraph"/>
        <w:numPr>
          <w:ilvl w:val="0"/>
          <w:numId w:val="10"/>
        </w:numPr>
        <w:spacing w:after="160" w:line="259" w:lineRule="auto"/>
        <w:rPr>
          <w:rFonts w:ascii="Arial" w:eastAsia="Calibri" w:hAnsi="Arial" w:cs="Arial"/>
          <w:sz w:val="20"/>
          <w:szCs w:val="20"/>
        </w:rPr>
      </w:pPr>
      <w:r>
        <w:rPr>
          <w:rFonts w:ascii="Arial" w:eastAsia="Calibri" w:hAnsi="Arial" w:cs="Arial"/>
          <w:sz w:val="20"/>
          <w:szCs w:val="20"/>
        </w:rPr>
        <w:t>Yamamoto</w:t>
      </w:r>
      <w:r w:rsidR="00B10D46" w:rsidRPr="002A0933">
        <w:rPr>
          <w:rFonts w:ascii="Arial" w:eastAsia="Calibri" w:hAnsi="Arial" w:cs="Arial"/>
          <w:sz w:val="20"/>
          <w:szCs w:val="20"/>
        </w:rPr>
        <w:t xml:space="preserve"> S</w:t>
      </w:r>
      <w:r>
        <w:rPr>
          <w:rFonts w:ascii="Arial" w:eastAsia="Calibri" w:hAnsi="Arial" w:cs="Arial"/>
          <w:sz w:val="20"/>
          <w:szCs w:val="20"/>
        </w:rPr>
        <w:t>,</w:t>
      </w:r>
      <w:r w:rsidR="00B10D46" w:rsidRPr="002A0933">
        <w:rPr>
          <w:rFonts w:ascii="Arial" w:eastAsia="Calibri" w:hAnsi="Arial" w:cs="Arial"/>
          <w:sz w:val="20"/>
          <w:szCs w:val="20"/>
        </w:rPr>
        <w:t xml:space="preserve"> et al:  Long-term effect of tacrolimus therapy in patients with refractory ulcerative colitis.  Aliment </w:t>
      </w:r>
      <w:proofErr w:type="spellStart"/>
      <w:r w:rsidR="00B10D46" w:rsidRPr="002A0933">
        <w:rPr>
          <w:rFonts w:ascii="Arial" w:eastAsia="Calibri" w:hAnsi="Arial" w:cs="Arial"/>
          <w:sz w:val="20"/>
          <w:szCs w:val="20"/>
        </w:rPr>
        <w:t>Pharmacol</w:t>
      </w:r>
      <w:proofErr w:type="spellEnd"/>
      <w:r w:rsidR="00B10D46" w:rsidRPr="002A0933">
        <w:rPr>
          <w:rFonts w:ascii="Arial" w:eastAsia="Calibri" w:hAnsi="Arial" w:cs="Arial"/>
          <w:sz w:val="20"/>
          <w:szCs w:val="20"/>
        </w:rPr>
        <w:t xml:space="preserve"> </w:t>
      </w:r>
      <w:proofErr w:type="spellStart"/>
      <w:r w:rsidR="00B10D46" w:rsidRPr="002A0933">
        <w:rPr>
          <w:rFonts w:ascii="Arial" w:eastAsia="Calibri" w:hAnsi="Arial" w:cs="Arial"/>
          <w:sz w:val="20"/>
          <w:szCs w:val="20"/>
        </w:rPr>
        <w:t>Ther</w:t>
      </w:r>
      <w:proofErr w:type="spellEnd"/>
      <w:r w:rsidR="00B10D46" w:rsidRPr="002A0933">
        <w:rPr>
          <w:rFonts w:ascii="Arial" w:eastAsia="Calibri" w:hAnsi="Arial" w:cs="Arial"/>
          <w:sz w:val="20"/>
          <w:szCs w:val="20"/>
        </w:rPr>
        <w:t xml:space="preserve"> 2008 (28): 589-597. </w:t>
      </w:r>
    </w:p>
    <w:p w14:paraId="6D102FA0" w14:textId="5927E4C0" w:rsidR="00C30170" w:rsidRPr="00C30170" w:rsidRDefault="00C30170">
      <w:pPr>
        <w:pStyle w:val="ListParagraph"/>
        <w:numPr>
          <w:ilvl w:val="0"/>
          <w:numId w:val="10"/>
        </w:numPr>
        <w:spacing w:after="160" w:line="259" w:lineRule="auto"/>
        <w:rPr>
          <w:rFonts w:ascii="Arial" w:eastAsia="Calibri" w:hAnsi="Arial" w:cs="Arial"/>
          <w:sz w:val="20"/>
          <w:szCs w:val="20"/>
        </w:rPr>
      </w:pPr>
      <w:r w:rsidRPr="00C30170">
        <w:rPr>
          <w:rFonts w:ascii="Arial" w:eastAsia="Calibri" w:hAnsi="Arial" w:cs="Arial"/>
          <w:sz w:val="20"/>
          <w:szCs w:val="20"/>
        </w:rPr>
        <w:t xml:space="preserve">Lamb CA, Kennedy NA, Raine T, et al: British Society of Gastroenterology consensus </w:t>
      </w:r>
      <w:r w:rsidRPr="00736044">
        <w:rPr>
          <w:rFonts w:ascii="Arial" w:eastAsia="Calibri" w:hAnsi="Arial" w:cs="Arial"/>
          <w:sz w:val="20"/>
          <w:szCs w:val="20"/>
        </w:rPr>
        <w:t xml:space="preserve">guidelines on the management of inflammatory </w:t>
      </w:r>
      <w:r w:rsidRPr="00C30170">
        <w:rPr>
          <w:rFonts w:ascii="Arial" w:eastAsia="Calibri" w:hAnsi="Arial" w:cs="Arial"/>
          <w:sz w:val="20"/>
          <w:szCs w:val="20"/>
        </w:rPr>
        <w:t>bowel disease in adults. Gut 2019;</w:t>
      </w:r>
      <w:proofErr w:type="gramStart"/>
      <w:r w:rsidRPr="00C30170">
        <w:rPr>
          <w:rFonts w:ascii="Arial" w:eastAsia="Calibri" w:hAnsi="Arial" w:cs="Arial"/>
          <w:sz w:val="20"/>
          <w:szCs w:val="20"/>
        </w:rPr>
        <w:t>68:s</w:t>
      </w:r>
      <w:proofErr w:type="gramEnd"/>
      <w:r w:rsidRPr="00C30170">
        <w:rPr>
          <w:rFonts w:ascii="Arial" w:eastAsia="Calibri" w:hAnsi="Arial" w:cs="Arial"/>
          <w:sz w:val="20"/>
          <w:szCs w:val="20"/>
        </w:rPr>
        <w:t>1–s106</w:t>
      </w:r>
    </w:p>
    <w:p w14:paraId="4A9EA8E9" w14:textId="77BB77A0" w:rsidR="00335748" w:rsidRPr="00542388" w:rsidRDefault="00335748" w:rsidP="00542388">
      <w:pPr>
        <w:spacing w:after="160" w:line="259" w:lineRule="auto"/>
        <w:rPr>
          <w:rFonts w:ascii="Calibri" w:eastAsia="Calibri" w:hAnsi="Calibri" w:cs="Times New Roman"/>
          <w:sz w:val="24"/>
          <w:szCs w:val="24"/>
        </w:rPr>
      </w:pPr>
    </w:p>
    <w:p w14:paraId="41D61F2D" w14:textId="54B8B4ED" w:rsidR="007572E7" w:rsidRPr="00542388" w:rsidRDefault="007572E7" w:rsidP="00542388">
      <w:pPr>
        <w:spacing w:before="240" w:after="160" w:line="259" w:lineRule="auto"/>
        <w:rPr>
          <w:rFonts w:ascii="Calibri" w:eastAsia="Calibri" w:hAnsi="Calibri" w:cs="Times New Roman"/>
          <w:sz w:val="24"/>
          <w:szCs w:val="24"/>
        </w:rPr>
      </w:pPr>
    </w:p>
    <w:p w14:paraId="41D637CD" w14:textId="77777777" w:rsidR="00B37195" w:rsidRDefault="00B37195" w:rsidP="009826C5">
      <w:pPr>
        <w:spacing w:line="360" w:lineRule="auto"/>
        <w:jc w:val="both"/>
        <w:rPr>
          <w:rFonts w:ascii="Arial" w:hAnsi="Arial" w:cs="Arial"/>
          <w:b/>
          <w:spacing w:val="60"/>
          <w:sz w:val="20"/>
          <w:szCs w:val="20"/>
        </w:rPr>
      </w:pPr>
    </w:p>
    <w:p w14:paraId="52279C99" w14:textId="77777777" w:rsidR="00B37195" w:rsidRPr="00557065" w:rsidRDefault="00B37195" w:rsidP="009826C5">
      <w:pPr>
        <w:spacing w:line="360" w:lineRule="auto"/>
        <w:jc w:val="both"/>
        <w:rPr>
          <w:rFonts w:ascii="Arial" w:hAnsi="Arial" w:cs="Arial"/>
          <w:b/>
          <w:spacing w:val="60"/>
          <w:sz w:val="20"/>
          <w:szCs w:val="20"/>
        </w:rPr>
      </w:pPr>
    </w:p>
    <w:sectPr w:rsidR="00B37195" w:rsidRPr="00557065" w:rsidSect="00534080">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D9F82C" w14:textId="77777777" w:rsidR="005B0B1A" w:rsidRDefault="005B0B1A" w:rsidP="00557065">
      <w:pPr>
        <w:spacing w:after="0" w:line="240" w:lineRule="auto"/>
      </w:pPr>
      <w:r>
        <w:separator/>
      </w:r>
    </w:p>
  </w:endnote>
  <w:endnote w:type="continuationSeparator" w:id="0">
    <w:p w14:paraId="66B61657" w14:textId="77777777" w:rsidR="005B0B1A" w:rsidRDefault="005B0B1A" w:rsidP="005570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2DCB43" w14:textId="1F8B040A" w:rsidR="00534080" w:rsidRDefault="00D232D0" w:rsidP="00534080">
    <w:pPr>
      <w:widowControl w:val="0"/>
      <w:autoSpaceDE w:val="0"/>
      <w:autoSpaceDN w:val="0"/>
      <w:adjustRightInd w:val="0"/>
      <w:spacing w:after="0" w:line="182" w:lineRule="exact"/>
      <w:ind w:right="-44"/>
      <w:rPr>
        <w:rFonts w:ascii="Arial" w:hAnsi="Arial" w:cs="Arial"/>
        <w:spacing w:val="1"/>
        <w:sz w:val="16"/>
        <w:szCs w:val="16"/>
      </w:rPr>
    </w:pPr>
    <w:r>
      <w:rPr>
        <w:rFonts w:ascii="Arial" w:hAnsi="Arial" w:cs="Arial"/>
        <w:spacing w:val="1"/>
        <w:sz w:val="16"/>
        <w:szCs w:val="16"/>
      </w:rPr>
      <w:t>Developed by:</w:t>
    </w:r>
    <w:r w:rsidR="00CF1C50">
      <w:rPr>
        <w:rFonts w:ascii="Arial" w:hAnsi="Arial" w:cs="Arial"/>
        <w:spacing w:val="1"/>
        <w:sz w:val="16"/>
        <w:szCs w:val="16"/>
      </w:rPr>
      <w:t xml:space="preserve"> Paul Dombrower</w:t>
    </w:r>
    <w:r w:rsidR="00CF1C50">
      <w:rPr>
        <w:rFonts w:ascii="Arial" w:hAnsi="Arial" w:cs="Arial"/>
        <w:spacing w:val="1"/>
        <w:sz w:val="16"/>
        <w:szCs w:val="16"/>
      </w:rPr>
      <w:tab/>
    </w:r>
    <w:r w:rsidR="00CF1C50">
      <w:rPr>
        <w:rFonts w:ascii="Arial" w:hAnsi="Arial" w:cs="Arial"/>
        <w:spacing w:val="1"/>
        <w:sz w:val="16"/>
        <w:szCs w:val="16"/>
      </w:rPr>
      <w:tab/>
    </w:r>
    <w:r w:rsidR="00CF1C50">
      <w:rPr>
        <w:rFonts w:ascii="Arial" w:hAnsi="Arial" w:cs="Arial"/>
        <w:spacing w:val="1"/>
        <w:sz w:val="16"/>
        <w:szCs w:val="16"/>
      </w:rPr>
      <w:tab/>
    </w:r>
    <w:r w:rsidR="00CF1C50">
      <w:rPr>
        <w:rFonts w:ascii="Arial" w:hAnsi="Arial" w:cs="Arial"/>
        <w:spacing w:val="1"/>
        <w:sz w:val="16"/>
        <w:szCs w:val="16"/>
      </w:rPr>
      <w:tab/>
    </w:r>
    <w:r w:rsidR="00CF1C50">
      <w:rPr>
        <w:rFonts w:ascii="Arial" w:hAnsi="Arial" w:cs="Arial"/>
        <w:spacing w:val="1"/>
        <w:sz w:val="16"/>
        <w:szCs w:val="16"/>
      </w:rPr>
      <w:tab/>
    </w:r>
    <w:r w:rsidR="00CF1C50">
      <w:rPr>
        <w:rFonts w:ascii="Arial" w:hAnsi="Arial" w:cs="Arial"/>
        <w:spacing w:val="1"/>
        <w:sz w:val="16"/>
        <w:szCs w:val="16"/>
      </w:rPr>
      <w:tab/>
    </w:r>
    <w:r w:rsidR="00CF1C50">
      <w:rPr>
        <w:rFonts w:ascii="Arial" w:hAnsi="Arial" w:cs="Arial"/>
        <w:spacing w:val="1"/>
        <w:sz w:val="16"/>
        <w:szCs w:val="16"/>
      </w:rPr>
      <w:tab/>
    </w:r>
    <w:r w:rsidR="00CF1C50">
      <w:rPr>
        <w:rFonts w:ascii="Arial" w:hAnsi="Arial" w:cs="Arial"/>
        <w:spacing w:val="1"/>
        <w:sz w:val="16"/>
        <w:szCs w:val="16"/>
      </w:rPr>
      <w:tab/>
    </w:r>
    <w:r w:rsidR="00534080">
      <w:rPr>
        <w:rFonts w:ascii="Arial" w:hAnsi="Arial" w:cs="Arial"/>
        <w:spacing w:val="1"/>
        <w:sz w:val="16"/>
        <w:szCs w:val="16"/>
      </w:rPr>
      <w:t>P</w:t>
    </w:r>
    <w:r w:rsidR="00534080">
      <w:rPr>
        <w:rFonts w:ascii="Arial" w:hAnsi="Arial" w:cs="Arial"/>
        <w:spacing w:val="-1"/>
        <w:sz w:val="16"/>
        <w:szCs w:val="16"/>
      </w:rPr>
      <w:t>ag</w:t>
    </w:r>
    <w:r w:rsidR="00534080">
      <w:rPr>
        <w:rFonts w:ascii="Arial" w:hAnsi="Arial" w:cs="Arial"/>
        <w:sz w:val="16"/>
        <w:szCs w:val="16"/>
      </w:rPr>
      <w:t>e</w:t>
    </w:r>
    <w:r w:rsidR="00534080">
      <w:rPr>
        <w:rFonts w:ascii="Arial" w:hAnsi="Arial" w:cs="Arial"/>
        <w:spacing w:val="1"/>
        <w:sz w:val="16"/>
        <w:szCs w:val="16"/>
      </w:rPr>
      <w:t xml:space="preserve"> </w:t>
    </w:r>
    <w:r w:rsidR="00534080">
      <w:rPr>
        <w:rFonts w:ascii="Arial" w:hAnsi="Arial" w:cs="Arial"/>
        <w:sz w:val="16"/>
        <w:szCs w:val="16"/>
      </w:rPr>
      <w:fldChar w:fldCharType="begin"/>
    </w:r>
    <w:r w:rsidR="00534080">
      <w:rPr>
        <w:rFonts w:ascii="Arial" w:hAnsi="Arial" w:cs="Arial"/>
        <w:sz w:val="16"/>
        <w:szCs w:val="16"/>
      </w:rPr>
      <w:instrText xml:space="preserve"> PAGE </w:instrText>
    </w:r>
    <w:r w:rsidR="00534080">
      <w:rPr>
        <w:rFonts w:ascii="Arial" w:hAnsi="Arial" w:cs="Arial"/>
        <w:sz w:val="16"/>
        <w:szCs w:val="16"/>
      </w:rPr>
      <w:fldChar w:fldCharType="separate"/>
    </w:r>
    <w:r w:rsidR="00C30170">
      <w:rPr>
        <w:rFonts w:ascii="Arial" w:hAnsi="Arial" w:cs="Arial"/>
        <w:noProof/>
        <w:sz w:val="16"/>
        <w:szCs w:val="16"/>
      </w:rPr>
      <w:t>3</w:t>
    </w:r>
    <w:r w:rsidR="00534080">
      <w:rPr>
        <w:rFonts w:ascii="Arial" w:hAnsi="Arial" w:cs="Arial"/>
        <w:sz w:val="16"/>
        <w:szCs w:val="16"/>
      </w:rPr>
      <w:fldChar w:fldCharType="end"/>
    </w:r>
    <w:r w:rsidR="00534080">
      <w:rPr>
        <w:rFonts w:ascii="Arial" w:hAnsi="Arial" w:cs="Arial"/>
        <w:spacing w:val="1"/>
        <w:sz w:val="16"/>
        <w:szCs w:val="16"/>
      </w:rPr>
      <w:t xml:space="preserve"> </w:t>
    </w:r>
    <w:r w:rsidR="00534080">
      <w:rPr>
        <w:rFonts w:ascii="Arial" w:hAnsi="Arial" w:cs="Arial"/>
        <w:spacing w:val="-3"/>
        <w:sz w:val="16"/>
        <w:szCs w:val="16"/>
      </w:rPr>
      <w:t>o</w:t>
    </w:r>
    <w:r w:rsidR="00534080">
      <w:rPr>
        <w:rFonts w:ascii="Arial" w:hAnsi="Arial" w:cs="Arial"/>
        <w:sz w:val="16"/>
        <w:szCs w:val="16"/>
      </w:rPr>
      <w:t>f</w:t>
    </w:r>
    <w:r w:rsidR="00534080">
      <w:rPr>
        <w:rFonts w:ascii="Arial" w:hAnsi="Arial" w:cs="Arial"/>
        <w:spacing w:val="2"/>
        <w:sz w:val="16"/>
        <w:szCs w:val="16"/>
      </w:rPr>
      <w:t xml:space="preserve"> </w:t>
    </w:r>
    <w:r w:rsidR="00D82077">
      <w:rPr>
        <w:rFonts w:ascii="Arial" w:hAnsi="Arial" w:cs="Arial"/>
        <w:sz w:val="16"/>
        <w:szCs w:val="16"/>
      </w:rPr>
      <w:t>5</w:t>
    </w:r>
    <w:r w:rsidR="00534080">
      <w:rPr>
        <w:rFonts w:ascii="Arial" w:hAnsi="Arial" w:cs="Arial"/>
        <w:spacing w:val="1"/>
        <w:sz w:val="16"/>
        <w:szCs w:val="16"/>
      </w:rPr>
      <w:t xml:space="preserve"> Approved by:</w:t>
    </w:r>
    <w:r w:rsidR="008777DD">
      <w:rPr>
        <w:rFonts w:ascii="Arial" w:hAnsi="Arial" w:cs="Arial"/>
        <w:spacing w:val="1"/>
        <w:sz w:val="16"/>
        <w:szCs w:val="16"/>
      </w:rPr>
      <w:t xml:space="preserve"> Acute Care Services Pharmacy Practice Council</w:t>
    </w:r>
  </w:p>
  <w:p w14:paraId="21DB9F49" w14:textId="08CF03B2" w:rsidR="00D232D0" w:rsidRDefault="00CF1C50" w:rsidP="00D232D0">
    <w:pPr>
      <w:widowControl w:val="0"/>
      <w:autoSpaceDE w:val="0"/>
      <w:autoSpaceDN w:val="0"/>
      <w:adjustRightInd w:val="0"/>
      <w:spacing w:after="0" w:line="182" w:lineRule="exact"/>
      <w:ind w:right="-44"/>
      <w:rPr>
        <w:rFonts w:ascii="Arial" w:hAnsi="Arial" w:cs="Arial"/>
        <w:sz w:val="16"/>
        <w:szCs w:val="16"/>
      </w:rPr>
    </w:pPr>
    <w:r>
      <w:rPr>
        <w:rFonts w:ascii="Arial" w:hAnsi="Arial" w:cs="Arial"/>
        <w:spacing w:val="1"/>
        <w:sz w:val="16"/>
        <w:szCs w:val="16"/>
      </w:rPr>
      <w:t xml:space="preserve">Original </w:t>
    </w:r>
    <w:r w:rsidR="00534080">
      <w:rPr>
        <w:rFonts w:ascii="Arial" w:hAnsi="Arial" w:cs="Arial"/>
        <w:spacing w:val="1"/>
        <w:sz w:val="16"/>
        <w:szCs w:val="16"/>
      </w:rPr>
      <w:t>Date:</w:t>
    </w:r>
    <w:r>
      <w:rPr>
        <w:rFonts w:ascii="Arial" w:hAnsi="Arial" w:cs="Arial"/>
        <w:spacing w:val="1"/>
        <w:sz w:val="16"/>
        <w:szCs w:val="16"/>
      </w:rPr>
      <w:t xml:space="preserve"> Sept 2010, Updated:</w:t>
    </w:r>
    <w:r w:rsidR="00534080">
      <w:rPr>
        <w:rFonts w:ascii="Arial" w:hAnsi="Arial" w:cs="Arial"/>
        <w:spacing w:val="1"/>
        <w:sz w:val="16"/>
        <w:szCs w:val="16"/>
      </w:rPr>
      <w:t xml:space="preserve"> </w:t>
    </w:r>
    <w:r w:rsidR="008777DD">
      <w:rPr>
        <w:rFonts w:ascii="Arial" w:hAnsi="Arial" w:cs="Arial"/>
        <w:spacing w:val="1"/>
        <w:sz w:val="16"/>
        <w:szCs w:val="16"/>
      </w:rPr>
      <w:t>Dec 2018</w:t>
    </w:r>
    <w:r w:rsidR="00D049CF">
      <w:rPr>
        <w:rFonts w:ascii="Arial" w:hAnsi="Arial" w:cs="Arial"/>
        <w:spacing w:val="1"/>
        <w:sz w:val="16"/>
        <w:szCs w:val="16"/>
      </w:rPr>
      <w:t xml:space="preserve"> &amp; Apr 2019</w:t>
    </w:r>
    <w:r w:rsidR="00534080">
      <w:rPr>
        <w:rFonts w:ascii="Arial" w:hAnsi="Arial" w:cs="Arial"/>
        <w:spacing w:val="1"/>
        <w:sz w:val="16"/>
        <w:szCs w:val="16"/>
      </w:rPr>
      <w:tab/>
    </w:r>
    <w:r w:rsidR="00534080">
      <w:rPr>
        <w:rFonts w:ascii="Arial" w:hAnsi="Arial" w:cs="Arial"/>
        <w:spacing w:val="1"/>
        <w:sz w:val="16"/>
        <w:szCs w:val="16"/>
      </w:rPr>
      <w:tab/>
    </w:r>
    <w:r w:rsidR="00534080">
      <w:rPr>
        <w:rFonts w:ascii="Arial" w:hAnsi="Arial" w:cs="Arial"/>
        <w:spacing w:val="1"/>
        <w:sz w:val="16"/>
        <w:szCs w:val="16"/>
      </w:rPr>
      <w:tab/>
    </w:r>
    <w:r w:rsidR="00534080">
      <w:rPr>
        <w:rFonts w:ascii="Arial" w:hAnsi="Arial" w:cs="Arial"/>
        <w:spacing w:val="1"/>
        <w:sz w:val="16"/>
        <w:szCs w:val="16"/>
      </w:rPr>
      <w:tab/>
    </w:r>
    <w:r w:rsidR="00534080">
      <w:rPr>
        <w:rFonts w:ascii="Arial" w:hAnsi="Arial" w:cs="Arial"/>
        <w:spacing w:val="1"/>
        <w:sz w:val="16"/>
        <w:szCs w:val="16"/>
      </w:rPr>
      <w:tab/>
    </w:r>
    <w:r w:rsidR="00534080">
      <w:rPr>
        <w:rFonts w:ascii="Arial" w:hAnsi="Arial" w:cs="Arial"/>
        <w:spacing w:val="1"/>
        <w:sz w:val="16"/>
        <w:szCs w:val="16"/>
      </w:rPr>
      <w:tab/>
    </w:r>
    <w:r w:rsidR="00534080">
      <w:rPr>
        <w:rFonts w:ascii="Arial" w:hAnsi="Arial" w:cs="Arial"/>
        <w:spacing w:val="1"/>
        <w:sz w:val="16"/>
        <w:szCs w:val="16"/>
      </w:rPr>
      <w:tab/>
    </w:r>
  </w:p>
  <w:p w14:paraId="017A741D" w14:textId="77777777" w:rsidR="00557065" w:rsidRPr="00D232D0" w:rsidRDefault="00557065" w:rsidP="00D232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F413BA" w14:textId="77777777" w:rsidR="005B0B1A" w:rsidRDefault="005B0B1A" w:rsidP="00557065">
      <w:pPr>
        <w:spacing w:after="0" w:line="240" w:lineRule="auto"/>
      </w:pPr>
      <w:r>
        <w:separator/>
      </w:r>
    </w:p>
  </w:footnote>
  <w:footnote w:type="continuationSeparator" w:id="0">
    <w:p w14:paraId="05DA8971" w14:textId="77777777" w:rsidR="005B0B1A" w:rsidRDefault="005B0B1A" w:rsidP="005570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ECC5B9" w14:textId="77777777" w:rsidR="00557065" w:rsidRDefault="00534080">
    <w:pPr>
      <w:pStyle w:val="Header"/>
    </w:pPr>
    <w:r>
      <w:rPr>
        <w:noProof/>
        <w:sz w:val="20"/>
        <w:szCs w:val="20"/>
      </w:rPr>
      <w:drawing>
        <wp:anchor distT="0" distB="0" distL="114300" distR="114300" simplePos="0" relativeHeight="251659264" behindDoc="0" locked="0" layoutInCell="1" allowOverlap="1" wp14:anchorId="17605588" wp14:editId="65BE03AB">
          <wp:simplePos x="0" y="0"/>
          <wp:positionH relativeFrom="column">
            <wp:posOffset>4754245</wp:posOffset>
          </wp:positionH>
          <wp:positionV relativeFrom="paragraph">
            <wp:posOffset>-77470</wp:posOffset>
          </wp:positionV>
          <wp:extent cx="1526540" cy="527050"/>
          <wp:effectExtent l="0" t="0" r="0" b="6350"/>
          <wp:wrapSquare wrapText="bothSides"/>
          <wp:docPr id="1" name="Picture 1" descr="X:\Pharmacy Logo\UNC-Pharmacy-Services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X:\Pharmacy Logo\UNC-Pharmacy-Services_RGB.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26540" cy="527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E6A1DE6" w14:textId="77777777" w:rsidR="00557065" w:rsidRDefault="005570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D07D9B"/>
    <w:multiLevelType w:val="hybridMultilevel"/>
    <w:tmpl w:val="D318DAC8"/>
    <w:lvl w:ilvl="0" w:tplc="0409000F">
      <w:start w:val="1"/>
      <w:numFmt w:val="decimal"/>
      <w:lvlText w:val="%1."/>
      <w:lvlJc w:val="left"/>
      <w:pPr>
        <w:ind w:left="81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BF74E2"/>
    <w:multiLevelType w:val="hybridMultilevel"/>
    <w:tmpl w:val="12F8FF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29739AA"/>
    <w:multiLevelType w:val="hybridMultilevel"/>
    <w:tmpl w:val="E1D0A05A"/>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1D16139"/>
    <w:multiLevelType w:val="hybridMultilevel"/>
    <w:tmpl w:val="070A4D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1515AD8"/>
    <w:multiLevelType w:val="hybridMultilevel"/>
    <w:tmpl w:val="AB28AC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B6E61F5"/>
    <w:multiLevelType w:val="hybridMultilevel"/>
    <w:tmpl w:val="C61E28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2DC5F09"/>
    <w:multiLevelType w:val="hybridMultilevel"/>
    <w:tmpl w:val="6E08BB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55541A0"/>
    <w:multiLevelType w:val="hybridMultilevel"/>
    <w:tmpl w:val="D18679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A923196"/>
    <w:multiLevelType w:val="hybridMultilevel"/>
    <w:tmpl w:val="06EE11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C94366E"/>
    <w:multiLevelType w:val="hybridMultilevel"/>
    <w:tmpl w:val="525C10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0F07A54"/>
    <w:multiLevelType w:val="hybridMultilevel"/>
    <w:tmpl w:val="5B6486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5AC15B7"/>
    <w:multiLevelType w:val="hybridMultilevel"/>
    <w:tmpl w:val="6532B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Marlett" w:hAnsi="Marlett"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Marlett" w:hAnsi="Marlett"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Marlett" w:hAnsi="Marlett" w:hint="default"/>
      </w:rPr>
    </w:lvl>
  </w:abstractNum>
  <w:num w:numId="1">
    <w:abstractNumId w:val="2"/>
  </w:num>
  <w:num w:numId="2">
    <w:abstractNumId w:val="8"/>
  </w:num>
  <w:num w:numId="3">
    <w:abstractNumId w:val="9"/>
  </w:num>
  <w:num w:numId="4">
    <w:abstractNumId w:val="5"/>
  </w:num>
  <w:num w:numId="5">
    <w:abstractNumId w:val="1"/>
  </w:num>
  <w:num w:numId="6">
    <w:abstractNumId w:val="4"/>
  </w:num>
  <w:num w:numId="7">
    <w:abstractNumId w:val="7"/>
  </w:num>
  <w:num w:numId="8">
    <w:abstractNumId w:val="11"/>
  </w:num>
  <w:num w:numId="9">
    <w:abstractNumId w:val="3"/>
  </w:num>
  <w:num w:numId="10">
    <w:abstractNumId w:val="0"/>
  </w:num>
  <w:num w:numId="11">
    <w:abstractNumId w:val="10"/>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7065"/>
    <w:rsid w:val="000100F3"/>
    <w:rsid w:val="00094FAB"/>
    <w:rsid w:val="000B60AB"/>
    <w:rsid w:val="000D18C2"/>
    <w:rsid w:val="00142E73"/>
    <w:rsid w:val="001E3F07"/>
    <w:rsid w:val="00225735"/>
    <w:rsid w:val="002421A4"/>
    <w:rsid w:val="002A0933"/>
    <w:rsid w:val="00335748"/>
    <w:rsid w:val="003715E2"/>
    <w:rsid w:val="00383AA5"/>
    <w:rsid w:val="0038464E"/>
    <w:rsid w:val="00400B8A"/>
    <w:rsid w:val="004C30B0"/>
    <w:rsid w:val="004C6DE2"/>
    <w:rsid w:val="004F5BA9"/>
    <w:rsid w:val="00534080"/>
    <w:rsid w:val="00542388"/>
    <w:rsid w:val="00557065"/>
    <w:rsid w:val="005B0B1A"/>
    <w:rsid w:val="005F0566"/>
    <w:rsid w:val="006515EB"/>
    <w:rsid w:val="00694A3C"/>
    <w:rsid w:val="006C73C3"/>
    <w:rsid w:val="00705304"/>
    <w:rsid w:val="00736044"/>
    <w:rsid w:val="007459EC"/>
    <w:rsid w:val="007572E7"/>
    <w:rsid w:val="007653F0"/>
    <w:rsid w:val="00767C38"/>
    <w:rsid w:val="0077768B"/>
    <w:rsid w:val="007C02ED"/>
    <w:rsid w:val="007C5A82"/>
    <w:rsid w:val="007D3316"/>
    <w:rsid w:val="008777DD"/>
    <w:rsid w:val="00891DCD"/>
    <w:rsid w:val="008E5612"/>
    <w:rsid w:val="00906DD0"/>
    <w:rsid w:val="009165FF"/>
    <w:rsid w:val="0092537A"/>
    <w:rsid w:val="00964DB4"/>
    <w:rsid w:val="009826C5"/>
    <w:rsid w:val="009D1288"/>
    <w:rsid w:val="00B10D46"/>
    <w:rsid w:val="00B25856"/>
    <w:rsid w:val="00B37195"/>
    <w:rsid w:val="00B45155"/>
    <w:rsid w:val="00B67495"/>
    <w:rsid w:val="00B91B30"/>
    <w:rsid w:val="00C30170"/>
    <w:rsid w:val="00C730BE"/>
    <w:rsid w:val="00CC05E2"/>
    <w:rsid w:val="00CD45D3"/>
    <w:rsid w:val="00CF1C50"/>
    <w:rsid w:val="00D049CF"/>
    <w:rsid w:val="00D0664A"/>
    <w:rsid w:val="00D232D0"/>
    <w:rsid w:val="00D35648"/>
    <w:rsid w:val="00D5743B"/>
    <w:rsid w:val="00D63138"/>
    <w:rsid w:val="00D82077"/>
    <w:rsid w:val="00DD7E0F"/>
    <w:rsid w:val="00ED5F05"/>
    <w:rsid w:val="00F009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6BC9134"/>
  <w15:docId w15:val="{042E9046-40BC-4E7D-B9F0-C90420644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A093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570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7065"/>
  </w:style>
  <w:style w:type="paragraph" w:styleId="Footer">
    <w:name w:val="footer"/>
    <w:basedOn w:val="Normal"/>
    <w:link w:val="FooterChar"/>
    <w:uiPriority w:val="99"/>
    <w:unhideWhenUsed/>
    <w:rsid w:val="005570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7065"/>
  </w:style>
  <w:style w:type="paragraph" w:styleId="BalloonText">
    <w:name w:val="Balloon Text"/>
    <w:basedOn w:val="Normal"/>
    <w:link w:val="BalloonTextChar"/>
    <w:uiPriority w:val="99"/>
    <w:semiHidden/>
    <w:unhideWhenUsed/>
    <w:rsid w:val="005570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7065"/>
    <w:rPr>
      <w:rFonts w:ascii="Tahoma" w:hAnsi="Tahoma" w:cs="Tahoma"/>
      <w:sz w:val="16"/>
      <w:szCs w:val="16"/>
    </w:rPr>
  </w:style>
  <w:style w:type="paragraph" w:styleId="ListParagraph">
    <w:name w:val="List Paragraph"/>
    <w:basedOn w:val="Normal"/>
    <w:uiPriority w:val="34"/>
    <w:qFormat/>
    <w:rsid w:val="009826C5"/>
    <w:pPr>
      <w:ind w:left="720"/>
      <w:contextualSpacing/>
    </w:pPr>
  </w:style>
  <w:style w:type="paragraph" w:styleId="Revision">
    <w:name w:val="Revision"/>
    <w:hidden/>
    <w:uiPriority w:val="99"/>
    <w:semiHidden/>
    <w:rsid w:val="006C73C3"/>
    <w:pPr>
      <w:spacing w:after="0" w:line="240" w:lineRule="auto"/>
    </w:pPr>
  </w:style>
  <w:style w:type="character" w:styleId="CommentReference">
    <w:name w:val="annotation reference"/>
    <w:basedOn w:val="DefaultParagraphFont"/>
    <w:uiPriority w:val="99"/>
    <w:semiHidden/>
    <w:unhideWhenUsed/>
    <w:rsid w:val="004C30B0"/>
    <w:rPr>
      <w:sz w:val="16"/>
      <w:szCs w:val="16"/>
    </w:rPr>
  </w:style>
  <w:style w:type="paragraph" w:styleId="CommentText">
    <w:name w:val="annotation text"/>
    <w:basedOn w:val="Normal"/>
    <w:link w:val="CommentTextChar"/>
    <w:uiPriority w:val="99"/>
    <w:semiHidden/>
    <w:unhideWhenUsed/>
    <w:rsid w:val="004C30B0"/>
    <w:pPr>
      <w:spacing w:line="240" w:lineRule="auto"/>
    </w:pPr>
    <w:rPr>
      <w:sz w:val="20"/>
      <w:szCs w:val="20"/>
    </w:rPr>
  </w:style>
  <w:style w:type="character" w:customStyle="1" w:styleId="CommentTextChar">
    <w:name w:val="Comment Text Char"/>
    <w:basedOn w:val="DefaultParagraphFont"/>
    <w:link w:val="CommentText"/>
    <w:uiPriority w:val="99"/>
    <w:semiHidden/>
    <w:rsid w:val="004C30B0"/>
    <w:rPr>
      <w:sz w:val="20"/>
      <w:szCs w:val="20"/>
    </w:rPr>
  </w:style>
  <w:style w:type="paragraph" w:styleId="CommentSubject">
    <w:name w:val="annotation subject"/>
    <w:basedOn w:val="CommentText"/>
    <w:next w:val="CommentText"/>
    <w:link w:val="CommentSubjectChar"/>
    <w:uiPriority w:val="99"/>
    <w:semiHidden/>
    <w:unhideWhenUsed/>
    <w:rsid w:val="004C30B0"/>
    <w:rPr>
      <w:b/>
      <w:bCs/>
    </w:rPr>
  </w:style>
  <w:style w:type="character" w:customStyle="1" w:styleId="CommentSubjectChar">
    <w:name w:val="Comment Subject Char"/>
    <w:basedOn w:val="CommentTextChar"/>
    <w:link w:val="CommentSubject"/>
    <w:uiPriority w:val="99"/>
    <w:semiHidden/>
    <w:rsid w:val="004C30B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F98B2C61F4CAA429E24FA24580B6C6D" ma:contentTypeVersion="16" ma:contentTypeDescription="Create a new document." ma:contentTypeScope="" ma:versionID="6ed865474514051a9783822eb28895d5">
  <xsd:schema xmlns:xsd="http://www.w3.org/2001/XMLSchema" xmlns:xs="http://www.w3.org/2001/XMLSchema" xmlns:p="http://schemas.microsoft.com/office/2006/metadata/properties" xmlns:ns3="1ec8c5ab-6ea7-455a-99bb-bad7068bcc06" xmlns:ns4="ab2d28dd-6b2b-4726-b2c2-edc4d3419a58" targetNamespace="http://schemas.microsoft.com/office/2006/metadata/properties" ma:root="true" ma:fieldsID="ed753d4a249a1b37bc17a8f88637c90e" ns3:_="" ns4:_="">
    <xsd:import namespace="1ec8c5ab-6ea7-455a-99bb-bad7068bcc06"/>
    <xsd:import namespace="ab2d28dd-6b2b-4726-b2c2-edc4d3419a5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element ref="ns3:MediaServiceLocation"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c8c5ab-6ea7-455a-99bb-bad7068bcc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2d28dd-6b2b-4726-b2c2-edc4d3419a5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1ec8c5ab-6ea7-455a-99bb-bad7068bcc06" xsi:nil="true"/>
  </documentManagement>
</p:properties>
</file>

<file path=customXml/itemProps1.xml><?xml version="1.0" encoding="utf-8"?>
<ds:datastoreItem xmlns:ds="http://schemas.openxmlformats.org/officeDocument/2006/customXml" ds:itemID="{FAFCDB3E-65E0-48BD-AE08-F8121EC2D2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c8c5ab-6ea7-455a-99bb-bad7068bcc06"/>
    <ds:schemaRef ds:uri="ab2d28dd-6b2b-4726-b2c2-edc4d3419a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24C7DA0-2843-4FB0-832B-A4EC60BCC787}">
  <ds:schemaRefs>
    <ds:schemaRef ds:uri="http://schemas.microsoft.com/sharepoint/v3/contenttype/forms"/>
  </ds:schemaRefs>
</ds:datastoreItem>
</file>

<file path=customXml/itemProps3.xml><?xml version="1.0" encoding="utf-8"?>
<ds:datastoreItem xmlns:ds="http://schemas.openxmlformats.org/officeDocument/2006/customXml" ds:itemID="{BF9B2A6A-A76A-4327-8FC4-1A5B0BCC9084}">
  <ds:schemaRefs>
    <ds:schemaRef ds:uri="http://purl.org/dc/dcmitype/"/>
    <ds:schemaRef ds:uri="http://purl.org/dc/terms/"/>
    <ds:schemaRef ds:uri="1ec8c5ab-6ea7-455a-99bb-bad7068bcc06"/>
    <ds:schemaRef ds:uri="http://schemas.openxmlformats.org/package/2006/metadata/core-properties"/>
    <ds:schemaRef ds:uri="http://schemas.microsoft.com/office/2006/metadata/properties"/>
    <ds:schemaRef ds:uri="http://purl.org/dc/elements/1.1/"/>
    <ds:schemaRef ds:uri="http://schemas.microsoft.com/office/2006/documentManagement/types"/>
    <ds:schemaRef ds:uri="http://www.w3.org/XML/1998/namespace"/>
    <ds:schemaRef ds:uri="http://schemas.microsoft.com/office/infopath/2007/PartnerControls"/>
    <ds:schemaRef ds:uri="ab2d28dd-6b2b-4726-b2c2-edc4d3419a58"/>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1586</Words>
  <Characters>9041</Characters>
  <Application>Microsoft Office Word</Application>
  <DocSecurity>4</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Cruz, Jennifer</dc:creator>
  <cp:lastModifiedBy>Long, Millie</cp:lastModifiedBy>
  <cp:revision>2</cp:revision>
  <cp:lastPrinted>2018-12-19T13:19:00Z</cp:lastPrinted>
  <dcterms:created xsi:type="dcterms:W3CDTF">2023-08-18T15:21:00Z</dcterms:created>
  <dcterms:modified xsi:type="dcterms:W3CDTF">2023-08-18T15:21:00Z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0x0101008F98B2C61F4CAA429E24FA24580B6C6D</vt:lpwstr>
  </property>
</Properties>
</file>