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187C9" w14:textId="63CFE75B" w:rsidR="00A13F7C" w:rsidRPr="00A13F7C" w:rsidRDefault="00A13F7C" w:rsidP="00A13F7C">
      <w:pPr>
        <w:spacing w:before="100" w:beforeAutospacing="1" w:after="100" w:afterAutospacing="1"/>
        <w:jc w:val="center"/>
        <w:rPr>
          <w:rFonts w:ascii="Times New Roman" w:eastAsia="Times New Roman" w:hAnsi="Times New Roman" w:cs="Times New Roman"/>
          <w:b/>
          <w:bCs/>
          <w:kern w:val="0"/>
          <w14:ligatures w14:val="none"/>
        </w:rPr>
      </w:pPr>
      <w:r>
        <w:rPr>
          <w:rFonts w:ascii="Times New Roman" w:eastAsia="Times New Roman" w:hAnsi="Times New Roman" w:cs="Times New Roman"/>
          <w:b/>
          <w:bCs/>
          <w:kern w:val="0"/>
          <w14:ligatures w14:val="none"/>
        </w:rPr>
        <w:t>Minimally Invasive Gynecologic Surgery Fellowship Didactic Curriculum</w:t>
      </w:r>
    </w:p>
    <w:p w14:paraId="1C85F0FD" w14:textId="2547AE96" w:rsidR="00A13F7C" w:rsidRPr="00A13F7C" w:rsidRDefault="00A13F7C" w:rsidP="00A13F7C">
      <w:pPr>
        <w:spacing w:before="100" w:beforeAutospacing="1" w:after="100" w:afterAutospacing="1"/>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All fellows will have protected time to complete the below education opportunities. Fellows will take on the role of a learner and/or presenter depending on the type of conference. We strive to educate our team beyond the required AAGL educational objectives and AAGL FMIGS reading list. Our goal is to promote fellow participation in departmental and divisional pursuits while advancing their clinical and surgical acumen.</w:t>
      </w:r>
    </w:p>
    <w:tbl>
      <w:tblPr>
        <w:tblW w:w="5000" w:type="pct"/>
        <w:jc w:val="center"/>
        <w:tblCellSpacing w:w="1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1390"/>
        <w:gridCol w:w="1437"/>
        <w:gridCol w:w="1541"/>
        <w:gridCol w:w="4976"/>
      </w:tblGrid>
      <w:tr w:rsidR="00A13F7C" w:rsidRPr="00A13F7C" w14:paraId="1057B25A" w14:textId="77777777" w:rsidTr="00A13F7C">
        <w:trPr>
          <w:trHeight w:val="345"/>
          <w:tblCellSpacing w:w="10" w:type="dxa"/>
          <w:jc w:val="center"/>
        </w:trPr>
        <w:tc>
          <w:tcPr>
            <w:tcW w:w="695" w:type="pct"/>
            <w:tcBorders>
              <w:top w:val="outset" w:sz="6" w:space="0" w:color="auto"/>
              <w:left w:val="outset" w:sz="6" w:space="0" w:color="auto"/>
              <w:bottom w:val="outset" w:sz="6" w:space="0" w:color="auto"/>
              <w:right w:val="outset" w:sz="6" w:space="0" w:color="auto"/>
            </w:tcBorders>
            <w:vAlign w:val="center"/>
            <w:hideMark/>
          </w:tcPr>
          <w:p w14:paraId="597AE6EF" w14:textId="77777777" w:rsidR="00A13F7C" w:rsidRPr="00A13F7C" w:rsidRDefault="00A13F7C" w:rsidP="00A13F7C">
            <w:pPr>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b/>
                <w:bCs/>
                <w:kern w:val="0"/>
                <w14:ligatures w14:val="none"/>
              </w:rPr>
              <w:t>Conference</w:t>
            </w:r>
          </w:p>
        </w:tc>
        <w:tc>
          <w:tcPr>
            <w:tcW w:w="609" w:type="pct"/>
            <w:tcBorders>
              <w:top w:val="outset" w:sz="6" w:space="0" w:color="auto"/>
              <w:left w:val="outset" w:sz="6" w:space="0" w:color="auto"/>
              <w:bottom w:val="outset" w:sz="6" w:space="0" w:color="auto"/>
              <w:right w:val="outset" w:sz="6" w:space="0" w:color="auto"/>
            </w:tcBorders>
            <w:vAlign w:val="center"/>
            <w:hideMark/>
          </w:tcPr>
          <w:p w14:paraId="5AFA5489" w14:textId="77777777" w:rsidR="00A13F7C" w:rsidRPr="00A13F7C" w:rsidRDefault="00A13F7C" w:rsidP="00A13F7C">
            <w:pPr>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b/>
                <w:bCs/>
                <w:kern w:val="0"/>
                <w14:ligatures w14:val="none"/>
              </w:rPr>
              <w:t>Type/ Frequency</w:t>
            </w:r>
          </w:p>
        </w:tc>
        <w:tc>
          <w:tcPr>
            <w:tcW w:w="774" w:type="pct"/>
            <w:tcBorders>
              <w:top w:val="outset" w:sz="6" w:space="0" w:color="auto"/>
              <w:left w:val="outset" w:sz="6" w:space="0" w:color="auto"/>
              <w:bottom w:val="outset" w:sz="6" w:space="0" w:color="auto"/>
              <w:right w:val="outset" w:sz="6" w:space="0" w:color="auto"/>
            </w:tcBorders>
            <w:vAlign w:val="center"/>
            <w:hideMark/>
          </w:tcPr>
          <w:p w14:paraId="5089F352" w14:textId="77777777" w:rsidR="00A13F7C" w:rsidRPr="00A13F7C" w:rsidRDefault="00A13F7C" w:rsidP="00A13F7C">
            <w:pPr>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b/>
                <w:bCs/>
                <w:kern w:val="0"/>
                <w14:ligatures w14:val="none"/>
              </w:rPr>
              <w:t>Role</w:t>
            </w:r>
          </w:p>
        </w:tc>
        <w:tc>
          <w:tcPr>
            <w:tcW w:w="2452" w:type="pct"/>
            <w:tcBorders>
              <w:top w:val="outset" w:sz="6" w:space="0" w:color="auto"/>
              <w:left w:val="outset" w:sz="6" w:space="0" w:color="auto"/>
              <w:bottom w:val="outset" w:sz="6" w:space="0" w:color="auto"/>
              <w:right w:val="outset" w:sz="6" w:space="0" w:color="auto"/>
            </w:tcBorders>
            <w:vAlign w:val="center"/>
            <w:hideMark/>
          </w:tcPr>
          <w:p w14:paraId="57486BAD" w14:textId="77777777" w:rsidR="00A13F7C" w:rsidRPr="00A13F7C" w:rsidRDefault="00A13F7C" w:rsidP="00A13F7C">
            <w:pPr>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b/>
                <w:bCs/>
                <w:kern w:val="0"/>
                <w14:ligatures w14:val="none"/>
              </w:rPr>
              <w:t>Objective</w:t>
            </w:r>
          </w:p>
        </w:tc>
      </w:tr>
      <w:tr w:rsidR="00A13F7C" w:rsidRPr="00A13F7C" w14:paraId="1024108A" w14:textId="77777777" w:rsidTr="00A13F7C">
        <w:trPr>
          <w:trHeight w:val="345"/>
          <w:tblCellSpacing w:w="10" w:type="dxa"/>
          <w:jc w:val="center"/>
        </w:trPr>
        <w:tc>
          <w:tcPr>
            <w:tcW w:w="695" w:type="pct"/>
            <w:tcBorders>
              <w:top w:val="outset" w:sz="6" w:space="0" w:color="auto"/>
              <w:left w:val="outset" w:sz="6" w:space="0" w:color="auto"/>
              <w:bottom w:val="outset" w:sz="6" w:space="0" w:color="auto"/>
              <w:right w:val="outset" w:sz="6" w:space="0" w:color="auto"/>
            </w:tcBorders>
            <w:vAlign w:val="center"/>
            <w:hideMark/>
          </w:tcPr>
          <w:p w14:paraId="0F61ECC2" w14:textId="77777777" w:rsidR="00A13F7C" w:rsidRPr="00A13F7C" w:rsidRDefault="00A13F7C" w:rsidP="00A13F7C">
            <w:pPr>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Grand Rounds</w:t>
            </w:r>
          </w:p>
        </w:tc>
        <w:tc>
          <w:tcPr>
            <w:tcW w:w="609" w:type="pct"/>
            <w:tcBorders>
              <w:top w:val="outset" w:sz="6" w:space="0" w:color="auto"/>
              <w:left w:val="outset" w:sz="6" w:space="0" w:color="auto"/>
              <w:bottom w:val="outset" w:sz="6" w:space="0" w:color="auto"/>
              <w:right w:val="outset" w:sz="6" w:space="0" w:color="auto"/>
            </w:tcBorders>
            <w:vAlign w:val="center"/>
            <w:hideMark/>
          </w:tcPr>
          <w:p w14:paraId="3AC47B96" w14:textId="77777777" w:rsidR="00A13F7C" w:rsidRPr="00A13F7C" w:rsidRDefault="00A13F7C" w:rsidP="00A13F7C">
            <w:pPr>
              <w:spacing w:before="100" w:beforeAutospacing="1" w:after="100" w:afterAutospacing="1"/>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Departmental</w:t>
            </w:r>
          </w:p>
          <w:p w14:paraId="1EC5EA4F" w14:textId="77777777" w:rsidR="00A13F7C" w:rsidRPr="00A13F7C" w:rsidRDefault="00A13F7C" w:rsidP="00A13F7C">
            <w:pPr>
              <w:spacing w:before="100" w:beforeAutospacing="1" w:after="100" w:afterAutospacing="1"/>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Bi-monthly</w:t>
            </w:r>
          </w:p>
        </w:tc>
        <w:tc>
          <w:tcPr>
            <w:tcW w:w="774" w:type="pct"/>
            <w:tcBorders>
              <w:top w:val="outset" w:sz="6" w:space="0" w:color="auto"/>
              <w:left w:val="outset" w:sz="6" w:space="0" w:color="auto"/>
              <w:bottom w:val="outset" w:sz="6" w:space="0" w:color="auto"/>
              <w:right w:val="outset" w:sz="6" w:space="0" w:color="auto"/>
            </w:tcBorders>
            <w:vAlign w:val="center"/>
            <w:hideMark/>
          </w:tcPr>
          <w:p w14:paraId="29BA90BF" w14:textId="77777777" w:rsidR="00A13F7C" w:rsidRPr="00A13F7C" w:rsidRDefault="00A13F7C" w:rsidP="00A13F7C">
            <w:pPr>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Learner</w:t>
            </w:r>
          </w:p>
        </w:tc>
        <w:tc>
          <w:tcPr>
            <w:tcW w:w="2452" w:type="pct"/>
            <w:tcBorders>
              <w:top w:val="outset" w:sz="6" w:space="0" w:color="auto"/>
              <w:left w:val="outset" w:sz="6" w:space="0" w:color="auto"/>
              <w:bottom w:val="outset" w:sz="6" w:space="0" w:color="auto"/>
              <w:right w:val="outset" w:sz="6" w:space="0" w:color="auto"/>
            </w:tcBorders>
            <w:vAlign w:val="center"/>
            <w:hideMark/>
          </w:tcPr>
          <w:p w14:paraId="754FC421" w14:textId="77777777" w:rsidR="00A13F7C" w:rsidRPr="00A13F7C" w:rsidRDefault="00A13F7C" w:rsidP="00A13F7C">
            <w:pPr>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This series informs OBGYN professionals of clinical and research advances in the field.</w:t>
            </w:r>
          </w:p>
        </w:tc>
      </w:tr>
      <w:tr w:rsidR="00A13F7C" w:rsidRPr="00A13F7C" w14:paraId="20372C35" w14:textId="77777777" w:rsidTr="00A13F7C">
        <w:trPr>
          <w:trHeight w:val="345"/>
          <w:tblCellSpacing w:w="10" w:type="dxa"/>
          <w:jc w:val="center"/>
        </w:trPr>
        <w:tc>
          <w:tcPr>
            <w:tcW w:w="695" w:type="pct"/>
            <w:tcBorders>
              <w:top w:val="outset" w:sz="6" w:space="0" w:color="auto"/>
              <w:left w:val="outset" w:sz="6" w:space="0" w:color="auto"/>
              <w:bottom w:val="outset" w:sz="6" w:space="0" w:color="auto"/>
              <w:right w:val="outset" w:sz="6" w:space="0" w:color="auto"/>
            </w:tcBorders>
            <w:vAlign w:val="center"/>
            <w:hideMark/>
          </w:tcPr>
          <w:p w14:paraId="529B3CFF" w14:textId="77777777" w:rsidR="00A13F7C" w:rsidRPr="00A13F7C" w:rsidRDefault="00A13F7C" w:rsidP="00A13F7C">
            <w:pPr>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Mortality &amp; Morbidity Rounds</w:t>
            </w:r>
          </w:p>
        </w:tc>
        <w:tc>
          <w:tcPr>
            <w:tcW w:w="609" w:type="pct"/>
            <w:tcBorders>
              <w:top w:val="outset" w:sz="6" w:space="0" w:color="auto"/>
              <w:left w:val="outset" w:sz="6" w:space="0" w:color="auto"/>
              <w:bottom w:val="outset" w:sz="6" w:space="0" w:color="auto"/>
              <w:right w:val="outset" w:sz="6" w:space="0" w:color="auto"/>
            </w:tcBorders>
            <w:vAlign w:val="center"/>
            <w:hideMark/>
          </w:tcPr>
          <w:p w14:paraId="287FEBB0" w14:textId="77777777" w:rsidR="00A13F7C" w:rsidRPr="00A13F7C" w:rsidRDefault="00A13F7C" w:rsidP="00A13F7C">
            <w:pPr>
              <w:spacing w:before="100" w:beforeAutospacing="1" w:after="100" w:afterAutospacing="1"/>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Department</w:t>
            </w:r>
          </w:p>
          <w:p w14:paraId="4E818BBD" w14:textId="77777777" w:rsidR="00A13F7C" w:rsidRPr="00A13F7C" w:rsidRDefault="00A13F7C" w:rsidP="00A13F7C">
            <w:pPr>
              <w:spacing w:before="100" w:beforeAutospacing="1" w:after="100" w:afterAutospacing="1"/>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Monthly</w:t>
            </w:r>
          </w:p>
        </w:tc>
        <w:tc>
          <w:tcPr>
            <w:tcW w:w="774" w:type="pct"/>
            <w:tcBorders>
              <w:top w:val="outset" w:sz="6" w:space="0" w:color="auto"/>
              <w:left w:val="outset" w:sz="6" w:space="0" w:color="auto"/>
              <w:bottom w:val="outset" w:sz="6" w:space="0" w:color="auto"/>
              <w:right w:val="outset" w:sz="6" w:space="0" w:color="auto"/>
            </w:tcBorders>
            <w:vAlign w:val="center"/>
            <w:hideMark/>
          </w:tcPr>
          <w:p w14:paraId="5ADAB277" w14:textId="77777777" w:rsidR="00A13F7C" w:rsidRPr="00A13F7C" w:rsidRDefault="00A13F7C" w:rsidP="00A13F7C">
            <w:pPr>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Learner</w:t>
            </w:r>
          </w:p>
        </w:tc>
        <w:tc>
          <w:tcPr>
            <w:tcW w:w="2452" w:type="pct"/>
            <w:tcBorders>
              <w:top w:val="outset" w:sz="6" w:space="0" w:color="auto"/>
              <w:left w:val="outset" w:sz="6" w:space="0" w:color="auto"/>
              <w:bottom w:val="outset" w:sz="6" w:space="0" w:color="auto"/>
              <w:right w:val="outset" w:sz="6" w:space="0" w:color="auto"/>
            </w:tcBorders>
            <w:vAlign w:val="center"/>
            <w:hideMark/>
          </w:tcPr>
          <w:p w14:paraId="12FD7326" w14:textId="77777777" w:rsidR="00A13F7C" w:rsidRPr="00A13F7C" w:rsidRDefault="00A13F7C" w:rsidP="00A13F7C">
            <w:pPr>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This series analyzes patient cases for quality improvement and implantation of systematic change.</w:t>
            </w:r>
          </w:p>
        </w:tc>
      </w:tr>
      <w:tr w:rsidR="00A13F7C" w:rsidRPr="00A13F7C" w14:paraId="0B89DADE" w14:textId="77777777" w:rsidTr="00A13F7C">
        <w:trPr>
          <w:trHeight w:val="345"/>
          <w:tblCellSpacing w:w="10" w:type="dxa"/>
          <w:jc w:val="center"/>
        </w:trPr>
        <w:tc>
          <w:tcPr>
            <w:tcW w:w="695" w:type="pct"/>
            <w:tcBorders>
              <w:top w:val="outset" w:sz="6" w:space="0" w:color="auto"/>
              <w:left w:val="outset" w:sz="6" w:space="0" w:color="auto"/>
              <w:bottom w:val="outset" w:sz="6" w:space="0" w:color="auto"/>
              <w:right w:val="outset" w:sz="6" w:space="0" w:color="auto"/>
            </w:tcBorders>
            <w:vAlign w:val="center"/>
            <w:hideMark/>
          </w:tcPr>
          <w:p w14:paraId="7FA7B7F4" w14:textId="77777777" w:rsidR="00A13F7C" w:rsidRPr="00A13F7C" w:rsidRDefault="00A13F7C" w:rsidP="00A13F7C">
            <w:pPr>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GYN rotation didactic series</w:t>
            </w:r>
          </w:p>
        </w:tc>
        <w:tc>
          <w:tcPr>
            <w:tcW w:w="609" w:type="pct"/>
            <w:tcBorders>
              <w:top w:val="outset" w:sz="6" w:space="0" w:color="auto"/>
              <w:left w:val="outset" w:sz="6" w:space="0" w:color="auto"/>
              <w:bottom w:val="outset" w:sz="6" w:space="0" w:color="auto"/>
              <w:right w:val="outset" w:sz="6" w:space="0" w:color="auto"/>
            </w:tcBorders>
            <w:vAlign w:val="center"/>
            <w:hideMark/>
          </w:tcPr>
          <w:p w14:paraId="60490F83" w14:textId="77777777" w:rsidR="00A13F7C" w:rsidRPr="00A13F7C" w:rsidRDefault="00A13F7C" w:rsidP="00A13F7C">
            <w:pPr>
              <w:spacing w:before="100" w:beforeAutospacing="1" w:after="100" w:afterAutospacing="1"/>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Departmental</w:t>
            </w:r>
          </w:p>
          <w:p w14:paraId="6DE508CD" w14:textId="77777777" w:rsidR="00A13F7C" w:rsidRPr="00A13F7C" w:rsidRDefault="00A13F7C" w:rsidP="00A13F7C">
            <w:pPr>
              <w:spacing w:before="100" w:beforeAutospacing="1" w:after="100" w:afterAutospacing="1"/>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Weekly</w:t>
            </w:r>
          </w:p>
        </w:tc>
        <w:tc>
          <w:tcPr>
            <w:tcW w:w="774" w:type="pct"/>
            <w:tcBorders>
              <w:top w:val="outset" w:sz="6" w:space="0" w:color="auto"/>
              <w:left w:val="outset" w:sz="6" w:space="0" w:color="auto"/>
              <w:bottom w:val="outset" w:sz="6" w:space="0" w:color="auto"/>
              <w:right w:val="outset" w:sz="6" w:space="0" w:color="auto"/>
            </w:tcBorders>
            <w:vAlign w:val="center"/>
            <w:hideMark/>
          </w:tcPr>
          <w:p w14:paraId="068F961D" w14:textId="77777777" w:rsidR="00A13F7C" w:rsidRPr="00A13F7C" w:rsidRDefault="00A13F7C" w:rsidP="00A13F7C">
            <w:pPr>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Presenter</w:t>
            </w:r>
          </w:p>
        </w:tc>
        <w:tc>
          <w:tcPr>
            <w:tcW w:w="2452" w:type="pct"/>
            <w:tcBorders>
              <w:top w:val="outset" w:sz="6" w:space="0" w:color="auto"/>
              <w:left w:val="outset" w:sz="6" w:space="0" w:color="auto"/>
              <w:bottom w:val="outset" w:sz="6" w:space="0" w:color="auto"/>
              <w:right w:val="outset" w:sz="6" w:space="0" w:color="auto"/>
            </w:tcBorders>
            <w:vAlign w:val="center"/>
            <w:hideMark/>
          </w:tcPr>
          <w:p w14:paraId="4D7E90E7" w14:textId="77777777" w:rsidR="00A13F7C" w:rsidRPr="00A13F7C" w:rsidRDefault="00A13F7C" w:rsidP="00A13F7C">
            <w:pPr>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This fellow-led series reviews MIGS specific topics for residents rotating on benign GYN.</w:t>
            </w:r>
          </w:p>
        </w:tc>
      </w:tr>
      <w:tr w:rsidR="00A13F7C" w:rsidRPr="00A13F7C" w14:paraId="380A9194" w14:textId="77777777" w:rsidTr="00A13F7C">
        <w:trPr>
          <w:trHeight w:val="345"/>
          <w:tblCellSpacing w:w="10" w:type="dxa"/>
          <w:jc w:val="center"/>
        </w:trPr>
        <w:tc>
          <w:tcPr>
            <w:tcW w:w="695" w:type="pct"/>
            <w:tcBorders>
              <w:top w:val="outset" w:sz="6" w:space="0" w:color="auto"/>
              <w:left w:val="outset" w:sz="6" w:space="0" w:color="auto"/>
              <w:bottom w:val="outset" w:sz="6" w:space="0" w:color="auto"/>
              <w:right w:val="outset" w:sz="6" w:space="0" w:color="auto"/>
            </w:tcBorders>
            <w:vAlign w:val="center"/>
            <w:hideMark/>
          </w:tcPr>
          <w:p w14:paraId="429E2E2C" w14:textId="77777777" w:rsidR="00A13F7C" w:rsidRPr="00A13F7C" w:rsidRDefault="00A13F7C" w:rsidP="00A13F7C">
            <w:pPr>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OBGYN Resident didactic</w:t>
            </w:r>
          </w:p>
        </w:tc>
        <w:tc>
          <w:tcPr>
            <w:tcW w:w="609" w:type="pct"/>
            <w:tcBorders>
              <w:top w:val="outset" w:sz="6" w:space="0" w:color="auto"/>
              <w:left w:val="outset" w:sz="6" w:space="0" w:color="auto"/>
              <w:bottom w:val="outset" w:sz="6" w:space="0" w:color="auto"/>
              <w:right w:val="outset" w:sz="6" w:space="0" w:color="auto"/>
            </w:tcBorders>
            <w:vAlign w:val="center"/>
            <w:hideMark/>
          </w:tcPr>
          <w:p w14:paraId="495E1850" w14:textId="77777777" w:rsidR="00A13F7C" w:rsidRPr="00A13F7C" w:rsidRDefault="00A13F7C" w:rsidP="00A13F7C">
            <w:pPr>
              <w:spacing w:before="100" w:beforeAutospacing="1" w:after="100" w:afterAutospacing="1"/>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Departmental</w:t>
            </w:r>
          </w:p>
          <w:p w14:paraId="39D79618" w14:textId="77777777" w:rsidR="00A13F7C" w:rsidRPr="00A13F7C" w:rsidRDefault="00A13F7C" w:rsidP="00A13F7C">
            <w:pPr>
              <w:spacing w:before="100" w:beforeAutospacing="1" w:after="100" w:afterAutospacing="1"/>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Bi-yearly</w:t>
            </w:r>
          </w:p>
        </w:tc>
        <w:tc>
          <w:tcPr>
            <w:tcW w:w="774" w:type="pct"/>
            <w:tcBorders>
              <w:top w:val="outset" w:sz="6" w:space="0" w:color="auto"/>
              <w:left w:val="outset" w:sz="6" w:space="0" w:color="auto"/>
              <w:bottom w:val="outset" w:sz="6" w:space="0" w:color="auto"/>
              <w:right w:val="outset" w:sz="6" w:space="0" w:color="auto"/>
            </w:tcBorders>
            <w:vAlign w:val="center"/>
            <w:hideMark/>
          </w:tcPr>
          <w:p w14:paraId="1EA5F92D" w14:textId="77777777" w:rsidR="00A13F7C" w:rsidRPr="00A13F7C" w:rsidRDefault="00A13F7C" w:rsidP="00A13F7C">
            <w:pPr>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Presenter</w:t>
            </w:r>
          </w:p>
        </w:tc>
        <w:tc>
          <w:tcPr>
            <w:tcW w:w="2452" w:type="pct"/>
            <w:tcBorders>
              <w:top w:val="outset" w:sz="6" w:space="0" w:color="auto"/>
              <w:left w:val="outset" w:sz="6" w:space="0" w:color="auto"/>
              <w:bottom w:val="outset" w:sz="6" w:space="0" w:color="auto"/>
              <w:right w:val="outset" w:sz="6" w:space="0" w:color="auto"/>
            </w:tcBorders>
            <w:vAlign w:val="center"/>
            <w:hideMark/>
          </w:tcPr>
          <w:p w14:paraId="605500BF" w14:textId="77777777" w:rsidR="00A13F7C" w:rsidRPr="00A13F7C" w:rsidRDefault="00A13F7C" w:rsidP="00A13F7C">
            <w:pPr>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This fellow-led seminar utilizes simulation and lecture to teach MIGS specific topics to OBGYN residents regardless of rotation.</w:t>
            </w:r>
          </w:p>
        </w:tc>
      </w:tr>
      <w:tr w:rsidR="00A13F7C" w:rsidRPr="00A13F7C" w14:paraId="1BD1F11C" w14:textId="77777777" w:rsidTr="00A13F7C">
        <w:trPr>
          <w:trHeight w:val="345"/>
          <w:tblCellSpacing w:w="10" w:type="dxa"/>
          <w:jc w:val="center"/>
        </w:trPr>
        <w:tc>
          <w:tcPr>
            <w:tcW w:w="695" w:type="pct"/>
            <w:tcBorders>
              <w:top w:val="outset" w:sz="6" w:space="0" w:color="auto"/>
              <w:left w:val="outset" w:sz="6" w:space="0" w:color="auto"/>
              <w:bottom w:val="outset" w:sz="6" w:space="0" w:color="auto"/>
              <w:right w:val="outset" w:sz="6" w:space="0" w:color="auto"/>
            </w:tcBorders>
            <w:vAlign w:val="center"/>
            <w:hideMark/>
          </w:tcPr>
          <w:p w14:paraId="087FADB7" w14:textId="77777777" w:rsidR="00A13F7C" w:rsidRPr="00A13F7C" w:rsidRDefault="00A13F7C" w:rsidP="00A13F7C">
            <w:pPr>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GYN Preop</w:t>
            </w:r>
          </w:p>
        </w:tc>
        <w:tc>
          <w:tcPr>
            <w:tcW w:w="609" w:type="pct"/>
            <w:tcBorders>
              <w:top w:val="outset" w:sz="6" w:space="0" w:color="auto"/>
              <w:left w:val="outset" w:sz="6" w:space="0" w:color="auto"/>
              <w:bottom w:val="outset" w:sz="6" w:space="0" w:color="auto"/>
              <w:right w:val="outset" w:sz="6" w:space="0" w:color="auto"/>
            </w:tcBorders>
            <w:vAlign w:val="center"/>
            <w:hideMark/>
          </w:tcPr>
          <w:p w14:paraId="2537FBE1" w14:textId="77777777" w:rsidR="00A13F7C" w:rsidRPr="00A13F7C" w:rsidRDefault="00A13F7C" w:rsidP="00A13F7C">
            <w:pPr>
              <w:spacing w:before="100" w:beforeAutospacing="1" w:after="100" w:afterAutospacing="1"/>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Departmental</w:t>
            </w:r>
          </w:p>
          <w:p w14:paraId="6FC6BBA1" w14:textId="77777777" w:rsidR="00A13F7C" w:rsidRPr="00A13F7C" w:rsidRDefault="00A13F7C" w:rsidP="00A13F7C">
            <w:pPr>
              <w:spacing w:before="100" w:beforeAutospacing="1" w:after="100" w:afterAutospacing="1"/>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Weekly</w:t>
            </w:r>
          </w:p>
        </w:tc>
        <w:tc>
          <w:tcPr>
            <w:tcW w:w="774" w:type="pct"/>
            <w:tcBorders>
              <w:top w:val="outset" w:sz="6" w:space="0" w:color="auto"/>
              <w:left w:val="outset" w:sz="6" w:space="0" w:color="auto"/>
              <w:bottom w:val="outset" w:sz="6" w:space="0" w:color="auto"/>
              <w:right w:val="outset" w:sz="6" w:space="0" w:color="auto"/>
            </w:tcBorders>
            <w:vAlign w:val="center"/>
            <w:hideMark/>
          </w:tcPr>
          <w:p w14:paraId="361907F9" w14:textId="77777777" w:rsidR="00A13F7C" w:rsidRPr="00A13F7C" w:rsidRDefault="00A13F7C" w:rsidP="00A13F7C">
            <w:pPr>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Learner</w:t>
            </w:r>
          </w:p>
        </w:tc>
        <w:tc>
          <w:tcPr>
            <w:tcW w:w="2452" w:type="pct"/>
            <w:tcBorders>
              <w:top w:val="outset" w:sz="6" w:space="0" w:color="auto"/>
              <w:left w:val="outset" w:sz="6" w:space="0" w:color="auto"/>
              <w:bottom w:val="outset" w:sz="6" w:space="0" w:color="auto"/>
              <w:right w:val="outset" w:sz="6" w:space="0" w:color="auto"/>
            </w:tcBorders>
            <w:vAlign w:val="center"/>
            <w:hideMark/>
          </w:tcPr>
          <w:p w14:paraId="7953B84A" w14:textId="77777777" w:rsidR="00A13F7C" w:rsidRPr="00A13F7C" w:rsidRDefault="00A13F7C" w:rsidP="00A13F7C">
            <w:pPr>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This faculty-led seminar utilizes boards-style Q&amp;A for students, residents, and fellows rotating on benign GYN.</w:t>
            </w:r>
          </w:p>
        </w:tc>
      </w:tr>
      <w:tr w:rsidR="00A13F7C" w:rsidRPr="00A13F7C" w14:paraId="40000B61" w14:textId="77777777" w:rsidTr="00A13F7C">
        <w:trPr>
          <w:trHeight w:val="345"/>
          <w:tblCellSpacing w:w="10" w:type="dxa"/>
          <w:jc w:val="center"/>
        </w:trPr>
        <w:tc>
          <w:tcPr>
            <w:tcW w:w="695" w:type="pct"/>
            <w:tcBorders>
              <w:top w:val="outset" w:sz="6" w:space="0" w:color="auto"/>
              <w:left w:val="outset" w:sz="6" w:space="0" w:color="auto"/>
              <w:bottom w:val="outset" w:sz="6" w:space="0" w:color="auto"/>
              <w:right w:val="outset" w:sz="6" w:space="0" w:color="auto"/>
            </w:tcBorders>
            <w:vAlign w:val="center"/>
            <w:hideMark/>
          </w:tcPr>
          <w:p w14:paraId="601B8D52" w14:textId="77777777" w:rsidR="00A13F7C" w:rsidRPr="00A13F7C" w:rsidRDefault="00A13F7C" w:rsidP="00A13F7C">
            <w:pPr>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Fellow Journal Club</w:t>
            </w:r>
          </w:p>
        </w:tc>
        <w:tc>
          <w:tcPr>
            <w:tcW w:w="609" w:type="pct"/>
            <w:tcBorders>
              <w:top w:val="outset" w:sz="6" w:space="0" w:color="auto"/>
              <w:left w:val="outset" w:sz="6" w:space="0" w:color="auto"/>
              <w:bottom w:val="outset" w:sz="6" w:space="0" w:color="auto"/>
              <w:right w:val="outset" w:sz="6" w:space="0" w:color="auto"/>
            </w:tcBorders>
            <w:vAlign w:val="center"/>
            <w:hideMark/>
          </w:tcPr>
          <w:p w14:paraId="1C096DF0" w14:textId="77777777" w:rsidR="00A13F7C" w:rsidRPr="00A13F7C" w:rsidRDefault="00A13F7C" w:rsidP="00A13F7C">
            <w:pPr>
              <w:spacing w:before="100" w:beforeAutospacing="1" w:after="100" w:afterAutospacing="1"/>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Divisional</w:t>
            </w:r>
          </w:p>
          <w:p w14:paraId="30CB6049" w14:textId="77777777" w:rsidR="00A13F7C" w:rsidRPr="00A13F7C" w:rsidRDefault="00A13F7C" w:rsidP="00A13F7C">
            <w:pPr>
              <w:spacing w:before="100" w:beforeAutospacing="1" w:after="100" w:afterAutospacing="1"/>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Bi-monthly</w:t>
            </w:r>
          </w:p>
        </w:tc>
        <w:tc>
          <w:tcPr>
            <w:tcW w:w="774" w:type="pct"/>
            <w:tcBorders>
              <w:top w:val="outset" w:sz="6" w:space="0" w:color="auto"/>
              <w:left w:val="outset" w:sz="6" w:space="0" w:color="auto"/>
              <w:bottom w:val="outset" w:sz="6" w:space="0" w:color="auto"/>
              <w:right w:val="outset" w:sz="6" w:space="0" w:color="auto"/>
            </w:tcBorders>
            <w:vAlign w:val="center"/>
            <w:hideMark/>
          </w:tcPr>
          <w:p w14:paraId="0539B108" w14:textId="77777777" w:rsidR="00A13F7C" w:rsidRPr="00A13F7C" w:rsidRDefault="00A13F7C" w:rsidP="00A13F7C">
            <w:pPr>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Presenter &amp; Learner</w:t>
            </w:r>
          </w:p>
        </w:tc>
        <w:tc>
          <w:tcPr>
            <w:tcW w:w="2452" w:type="pct"/>
            <w:tcBorders>
              <w:top w:val="outset" w:sz="6" w:space="0" w:color="auto"/>
              <w:left w:val="outset" w:sz="6" w:space="0" w:color="auto"/>
              <w:bottom w:val="outset" w:sz="6" w:space="0" w:color="auto"/>
              <w:right w:val="outset" w:sz="6" w:space="0" w:color="auto"/>
            </w:tcBorders>
            <w:vAlign w:val="center"/>
            <w:hideMark/>
          </w:tcPr>
          <w:p w14:paraId="11493196" w14:textId="77777777" w:rsidR="00A13F7C" w:rsidRPr="00A13F7C" w:rsidRDefault="00A13F7C" w:rsidP="00A13F7C">
            <w:pPr>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This small group discussion examines and debates core readings from the FMIGS reading list.</w:t>
            </w:r>
          </w:p>
        </w:tc>
      </w:tr>
      <w:tr w:rsidR="00A13F7C" w:rsidRPr="00A13F7C" w14:paraId="239AD62F" w14:textId="77777777" w:rsidTr="00A13F7C">
        <w:trPr>
          <w:trHeight w:val="345"/>
          <w:tblCellSpacing w:w="10" w:type="dxa"/>
          <w:jc w:val="center"/>
        </w:trPr>
        <w:tc>
          <w:tcPr>
            <w:tcW w:w="695" w:type="pct"/>
            <w:tcBorders>
              <w:top w:val="outset" w:sz="6" w:space="0" w:color="auto"/>
              <w:left w:val="outset" w:sz="6" w:space="0" w:color="auto"/>
              <w:bottom w:val="outset" w:sz="6" w:space="0" w:color="auto"/>
              <w:right w:val="outset" w:sz="6" w:space="0" w:color="auto"/>
            </w:tcBorders>
            <w:vAlign w:val="center"/>
            <w:hideMark/>
          </w:tcPr>
          <w:p w14:paraId="5CC15171" w14:textId="77777777" w:rsidR="00A13F7C" w:rsidRPr="00A13F7C" w:rsidRDefault="00A13F7C" w:rsidP="00A13F7C">
            <w:pPr>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Fellow Research Club</w:t>
            </w:r>
          </w:p>
        </w:tc>
        <w:tc>
          <w:tcPr>
            <w:tcW w:w="609" w:type="pct"/>
            <w:tcBorders>
              <w:top w:val="outset" w:sz="6" w:space="0" w:color="auto"/>
              <w:left w:val="outset" w:sz="6" w:space="0" w:color="auto"/>
              <w:bottom w:val="outset" w:sz="6" w:space="0" w:color="auto"/>
              <w:right w:val="outset" w:sz="6" w:space="0" w:color="auto"/>
            </w:tcBorders>
            <w:vAlign w:val="center"/>
            <w:hideMark/>
          </w:tcPr>
          <w:p w14:paraId="7F5E47A5" w14:textId="77777777" w:rsidR="00A13F7C" w:rsidRPr="00A13F7C" w:rsidRDefault="00A13F7C" w:rsidP="00A13F7C">
            <w:pPr>
              <w:spacing w:before="100" w:beforeAutospacing="1" w:after="100" w:afterAutospacing="1"/>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Divisional</w:t>
            </w:r>
          </w:p>
          <w:p w14:paraId="5EEF7ED9" w14:textId="77777777" w:rsidR="00A13F7C" w:rsidRPr="00A13F7C" w:rsidRDefault="00A13F7C" w:rsidP="00A13F7C">
            <w:pPr>
              <w:spacing w:before="100" w:beforeAutospacing="1" w:after="100" w:afterAutospacing="1"/>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Bi-monthly</w:t>
            </w:r>
          </w:p>
        </w:tc>
        <w:tc>
          <w:tcPr>
            <w:tcW w:w="774" w:type="pct"/>
            <w:tcBorders>
              <w:top w:val="outset" w:sz="6" w:space="0" w:color="auto"/>
              <w:left w:val="outset" w:sz="6" w:space="0" w:color="auto"/>
              <w:bottom w:val="outset" w:sz="6" w:space="0" w:color="auto"/>
              <w:right w:val="outset" w:sz="6" w:space="0" w:color="auto"/>
            </w:tcBorders>
            <w:vAlign w:val="center"/>
            <w:hideMark/>
          </w:tcPr>
          <w:p w14:paraId="24E2390E" w14:textId="77777777" w:rsidR="00A13F7C" w:rsidRPr="00A13F7C" w:rsidRDefault="00A13F7C" w:rsidP="00A13F7C">
            <w:pPr>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Presenter &amp; Learner</w:t>
            </w:r>
          </w:p>
        </w:tc>
        <w:tc>
          <w:tcPr>
            <w:tcW w:w="2452" w:type="pct"/>
            <w:tcBorders>
              <w:top w:val="outset" w:sz="6" w:space="0" w:color="auto"/>
              <w:left w:val="outset" w:sz="6" w:space="0" w:color="auto"/>
              <w:bottom w:val="outset" w:sz="6" w:space="0" w:color="auto"/>
              <w:right w:val="outset" w:sz="6" w:space="0" w:color="auto"/>
            </w:tcBorders>
            <w:vAlign w:val="center"/>
            <w:hideMark/>
          </w:tcPr>
          <w:p w14:paraId="15B388FC" w14:textId="77777777" w:rsidR="00A13F7C" w:rsidRPr="00A13F7C" w:rsidRDefault="00A13F7C" w:rsidP="00A13F7C">
            <w:pPr>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This research roundtable assists fellows in the regular evaluation and advancement of their research. It includes but is not limited to IRB submission, method design, scholarly writing, and completion of deadlines.</w:t>
            </w:r>
          </w:p>
        </w:tc>
      </w:tr>
      <w:tr w:rsidR="00A13F7C" w:rsidRPr="00A13F7C" w14:paraId="65B51D9B" w14:textId="77777777" w:rsidTr="00A13F7C">
        <w:trPr>
          <w:trHeight w:val="345"/>
          <w:tblCellSpacing w:w="10" w:type="dxa"/>
          <w:jc w:val="center"/>
        </w:trPr>
        <w:tc>
          <w:tcPr>
            <w:tcW w:w="695" w:type="pct"/>
            <w:tcBorders>
              <w:top w:val="outset" w:sz="6" w:space="0" w:color="auto"/>
              <w:left w:val="outset" w:sz="6" w:space="0" w:color="auto"/>
              <w:bottom w:val="outset" w:sz="6" w:space="0" w:color="auto"/>
              <w:right w:val="outset" w:sz="6" w:space="0" w:color="auto"/>
            </w:tcBorders>
            <w:vAlign w:val="center"/>
            <w:hideMark/>
          </w:tcPr>
          <w:p w14:paraId="06178A1E" w14:textId="77777777" w:rsidR="00A13F7C" w:rsidRPr="00A13F7C" w:rsidRDefault="00A13F7C" w:rsidP="00A13F7C">
            <w:pPr>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MIGS Division meeting</w:t>
            </w:r>
          </w:p>
        </w:tc>
        <w:tc>
          <w:tcPr>
            <w:tcW w:w="609" w:type="pct"/>
            <w:tcBorders>
              <w:top w:val="outset" w:sz="6" w:space="0" w:color="auto"/>
              <w:left w:val="outset" w:sz="6" w:space="0" w:color="auto"/>
              <w:bottom w:val="outset" w:sz="6" w:space="0" w:color="auto"/>
              <w:right w:val="outset" w:sz="6" w:space="0" w:color="auto"/>
            </w:tcBorders>
            <w:vAlign w:val="center"/>
            <w:hideMark/>
          </w:tcPr>
          <w:p w14:paraId="501A477C" w14:textId="77777777" w:rsidR="00A13F7C" w:rsidRPr="00A13F7C" w:rsidRDefault="00A13F7C" w:rsidP="00A13F7C">
            <w:pPr>
              <w:spacing w:before="100" w:beforeAutospacing="1" w:after="100" w:afterAutospacing="1"/>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Divisional</w:t>
            </w:r>
          </w:p>
          <w:p w14:paraId="1B354ECB" w14:textId="77777777" w:rsidR="00A13F7C" w:rsidRPr="00A13F7C" w:rsidRDefault="00A13F7C" w:rsidP="00A13F7C">
            <w:pPr>
              <w:spacing w:before="100" w:beforeAutospacing="1" w:after="100" w:afterAutospacing="1"/>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Monthly</w:t>
            </w:r>
          </w:p>
        </w:tc>
        <w:tc>
          <w:tcPr>
            <w:tcW w:w="774" w:type="pct"/>
            <w:tcBorders>
              <w:top w:val="outset" w:sz="6" w:space="0" w:color="auto"/>
              <w:left w:val="outset" w:sz="6" w:space="0" w:color="auto"/>
              <w:bottom w:val="outset" w:sz="6" w:space="0" w:color="auto"/>
              <w:right w:val="outset" w:sz="6" w:space="0" w:color="auto"/>
            </w:tcBorders>
            <w:vAlign w:val="center"/>
            <w:hideMark/>
          </w:tcPr>
          <w:p w14:paraId="671C870D" w14:textId="77777777" w:rsidR="00A13F7C" w:rsidRPr="00A13F7C" w:rsidRDefault="00A13F7C" w:rsidP="00A13F7C">
            <w:pPr>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Presenter &amp; Learner</w:t>
            </w:r>
          </w:p>
        </w:tc>
        <w:tc>
          <w:tcPr>
            <w:tcW w:w="2452" w:type="pct"/>
            <w:tcBorders>
              <w:top w:val="outset" w:sz="6" w:space="0" w:color="auto"/>
              <w:left w:val="outset" w:sz="6" w:space="0" w:color="auto"/>
              <w:bottom w:val="outset" w:sz="6" w:space="0" w:color="auto"/>
              <w:right w:val="outset" w:sz="6" w:space="0" w:color="auto"/>
            </w:tcBorders>
            <w:vAlign w:val="center"/>
            <w:hideMark/>
          </w:tcPr>
          <w:p w14:paraId="4C75FE99" w14:textId="77777777" w:rsidR="00A13F7C" w:rsidRPr="00A13F7C" w:rsidRDefault="00A13F7C" w:rsidP="00A13F7C">
            <w:pPr>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This conference not only focuses on clinical and organizational changes within the MIGS division, but also includes multidisciplinary endometriosis and chronic pelvic pain conference to address patients with complex pain disorders and deep infiltrating endometriosis.</w:t>
            </w:r>
          </w:p>
        </w:tc>
      </w:tr>
      <w:tr w:rsidR="00A13F7C" w:rsidRPr="00A13F7C" w14:paraId="1B53895C" w14:textId="77777777" w:rsidTr="00A13F7C">
        <w:trPr>
          <w:trHeight w:val="345"/>
          <w:tblCellSpacing w:w="10" w:type="dxa"/>
          <w:jc w:val="center"/>
        </w:trPr>
        <w:tc>
          <w:tcPr>
            <w:tcW w:w="695" w:type="pct"/>
            <w:tcBorders>
              <w:top w:val="outset" w:sz="6" w:space="0" w:color="auto"/>
              <w:left w:val="outset" w:sz="6" w:space="0" w:color="auto"/>
              <w:bottom w:val="outset" w:sz="6" w:space="0" w:color="auto"/>
              <w:right w:val="outset" w:sz="6" w:space="0" w:color="auto"/>
            </w:tcBorders>
            <w:vAlign w:val="center"/>
            <w:hideMark/>
          </w:tcPr>
          <w:p w14:paraId="703D9DF8" w14:textId="77777777" w:rsidR="00A13F7C" w:rsidRPr="00A13F7C" w:rsidRDefault="00A13F7C" w:rsidP="00A13F7C">
            <w:pPr>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lastRenderedPageBreak/>
              <w:t>Robotic simulation series</w:t>
            </w:r>
          </w:p>
        </w:tc>
        <w:tc>
          <w:tcPr>
            <w:tcW w:w="609" w:type="pct"/>
            <w:tcBorders>
              <w:top w:val="outset" w:sz="6" w:space="0" w:color="auto"/>
              <w:left w:val="outset" w:sz="6" w:space="0" w:color="auto"/>
              <w:bottom w:val="outset" w:sz="6" w:space="0" w:color="auto"/>
              <w:right w:val="outset" w:sz="6" w:space="0" w:color="auto"/>
            </w:tcBorders>
            <w:vAlign w:val="center"/>
            <w:hideMark/>
          </w:tcPr>
          <w:p w14:paraId="06E22B0F" w14:textId="77777777" w:rsidR="00A13F7C" w:rsidRPr="00A13F7C" w:rsidRDefault="00A13F7C" w:rsidP="00A13F7C">
            <w:pPr>
              <w:spacing w:before="100" w:beforeAutospacing="1" w:after="100" w:afterAutospacing="1"/>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Divisional</w:t>
            </w:r>
          </w:p>
          <w:p w14:paraId="2D9A8A95" w14:textId="77777777" w:rsidR="00A13F7C" w:rsidRPr="00A13F7C" w:rsidRDefault="00A13F7C" w:rsidP="00A13F7C">
            <w:pPr>
              <w:spacing w:before="100" w:beforeAutospacing="1" w:after="100" w:afterAutospacing="1"/>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Quarterly</w:t>
            </w:r>
          </w:p>
        </w:tc>
        <w:tc>
          <w:tcPr>
            <w:tcW w:w="774" w:type="pct"/>
            <w:tcBorders>
              <w:top w:val="outset" w:sz="6" w:space="0" w:color="auto"/>
              <w:left w:val="outset" w:sz="6" w:space="0" w:color="auto"/>
              <w:bottom w:val="outset" w:sz="6" w:space="0" w:color="auto"/>
              <w:right w:val="outset" w:sz="6" w:space="0" w:color="auto"/>
            </w:tcBorders>
            <w:vAlign w:val="center"/>
            <w:hideMark/>
          </w:tcPr>
          <w:p w14:paraId="1CC34F72" w14:textId="77777777" w:rsidR="00A13F7C" w:rsidRPr="00A13F7C" w:rsidRDefault="00A13F7C" w:rsidP="00A13F7C">
            <w:pPr>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Learner</w:t>
            </w:r>
          </w:p>
        </w:tc>
        <w:tc>
          <w:tcPr>
            <w:tcW w:w="2452" w:type="pct"/>
            <w:tcBorders>
              <w:top w:val="outset" w:sz="6" w:space="0" w:color="auto"/>
              <w:left w:val="outset" w:sz="6" w:space="0" w:color="auto"/>
              <w:bottom w:val="outset" w:sz="6" w:space="0" w:color="auto"/>
              <w:right w:val="outset" w:sz="6" w:space="0" w:color="auto"/>
            </w:tcBorders>
            <w:vAlign w:val="center"/>
            <w:hideMark/>
          </w:tcPr>
          <w:p w14:paraId="0BCB8FAD" w14:textId="77777777" w:rsidR="00A13F7C" w:rsidRPr="00A13F7C" w:rsidRDefault="00A13F7C" w:rsidP="00A13F7C">
            <w:pPr>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This one-on-one simulation program teaches basic and advanced robotic principles such as docking and console + assistant ergonomics.</w:t>
            </w:r>
          </w:p>
        </w:tc>
      </w:tr>
      <w:tr w:rsidR="00A13F7C" w:rsidRPr="00A13F7C" w14:paraId="7B0706E1" w14:textId="77777777" w:rsidTr="00A13F7C">
        <w:trPr>
          <w:trHeight w:val="345"/>
          <w:tblCellSpacing w:w="10" w:type="dxa"/>
          <w:jc w:val="center"/>
        </w:trPr>
        <w:tc>
          <w:tcPr>
            <w:tcW w:w="695" w:type="pct"/>
            <w:tcBorders>
              <w:top w:val="outset" w:sz="6" w:space="0" w:color="auto"/>
              <w:left w:val="outset" w:sz="6" w:space="0" w:color="auto"/>
              <w:bottom w:val="outset" w:sz="6" w:space="0" w:color="auto"/>
              <w:right w:val="outset" w:sz="6" w:space="0" w:color="auto"/>
            </w:tcBorders>
            <w:vAlign w:val="center"/>
            <w:hideMark/>
          </w:tcPr>
          <w:p w14:paraId="6EC95A06" w14:textId="77777777" w:rsidR="00A13F7C" w:rsidRPr="00A13F7C" w:rsidRDefault="00A13F7C" w:rsidP="00A13F7C">
            <w:pPr>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Video based coaching</w:t>
            </w:r>
          </w:p>
        </w:tc>
        <w:tc>
          <w:tcPr>
            <w:tcW w:w="609" w:type="pct"/>
            <w:tcBorders>
              <w:top w:val="outset" w:sz="6" w:space="0" w:color="auto"/>
              <w:left w:val="outset" w:sz="6" w:space="0" w:color="auto"/>
              <w:bottom w:val="outset" w:sz="6" w:space="0" w:color="auto"/>
              <w:right w:val="outset" w:sz="6" w:space="0" w:color="auto"/>
            </w:tcBorders>
            <w:vAlign w:val="center"/>
            <w:hideMark/>
          </w:tcPr>
          <w:p w14:paraId="3D8F7C96" w14:textId="77777777" w:rsidR="00A13F7C" w:rsidRPr="00A13F7C" w:rsidRDefault="00A13F7C" w:rsidP="00A13F7C">
            <w:pPr>
              <w:spacing w:before="100" w:beforeAutospacing="1" w:after="100" w:afterAutospacing="1"/>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Divisional</w:t>
            </w:r>
          </w:p>
          <w:p w14:paraId="44AB4941" w14:textId="77777777" w:rsidR="00A13F7C" w:rsidRPr="00A13F7C" w:rsidRDefault="00A13F7C" w:rsidP="00A13F7C">
            <w:pPr>
              <w:spacing w:before="100" w:beforeAutospacing="1" w:after="100" w:afterAutospacing="1"/>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Monthly</w:t>
            </w:r>
          </w:p>
        </w:tc>
        <w:tc>
          <w:tcPr>
            <w:tcW w:w="774" w:type="pct"/>
            <w:tcBorders>
              <w:top w:val="outset" w:sz="6" w:space="0" w:color="auto"/>
              <w:left w:val="outset" w:sz="6" w:space="0" w:color="auto"/>
              <w:bottom w:val="outset" w:sz="6" w:space="0" w:color="auto"/>
              <w:right w:val="outset" w:sz="6" w:space="0" w:color="auto"/>
            </w:tcBorders>
            <w:vAlign w:val="center"/>
            <w:hideMark/>
          </w:tcPr>
          <w:p w14:paraId="7A261661" w14:textId="77777777" w:rsidR="00A13F7C" w:rsidRPr="00A13F7C" w:rsidRDefault="00A13F7C" w:rsidP="00A13F7C">
            <w:pPr>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Learner</w:t>
            </w:r>
          </w:p>
        </w:tc>
        <w:tc>
          <w:tcPr>
            <w:tcW w:w="2452" w:type="pct"/>
            <w:tcBorders>
              <w:top w:val="outset" w:sz="6" w:space="0" w:color="auto"/>
              <w:left w:val="outset" w:sz="6" w:space="0" w:color="auto"/>
              <w:bottom w:val="outset" w:sz="6" w:space="0" w:color="auto"/>
              <w:right w:val="outset" w:sz="6" w:space="0" w:color="auto"/>
            </w:tcBorders>
            <w:vAlign w:val="center"/>
            <w:hideMark/>
          </w:tcPr>
          <w:p w14:paraId="22358A4A" w14:textId="77777777" w:rsidR="00A13F7C" w:rsidRPr="00A13F7C" w:rsidRDefault="00A13F7C" w:rsidP="00A13F7C">
            <w:pPr>
              <w:jc w:val="center"/>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This one-on-one instruction explores the technical and decision-making aspects of an operative technique.</w:t>
            </w:r>
          </w:p>
        </w:tc>
      </w:tr>
    </w:tbl>
    <w:p w14:paraId="579FE950" w14:textId="77777777" w:rsidR="00A13F7C" w:rsidRPr="00A13F7C" w:rsidRDefault="00A13F7C" w:rsidP="00A13F7C">
      <w:pPr>
        <w:spacing w:before="100" w:beforeAutospacing="1" w:after="100" w:afterAutospacing="1"/>
        <w:rPr>
          <w:rFonts w:ascii="Times New Roman" w:eastAsia="Times New Roman" w:hAnsi="Times New Roman" w:cs="Times New Roman"/>
          <w:kern w:val="0"/>
          <w14:ligatures w14:val="none"/>
        </w:rPr>
      </w:pPr>
      <w:r w:rsidRPr="00A13F7C">
        <w:rPr>
          <w:rFonts w:ascii="Times New Roman" w:eastAsia="Times New Roman" w:hAnsi="Times New Roman" w:cs="Times New Roman"/>
          <w:kern w:val="0"/>
          <w14:ligatures w14:val="none"/>
        </w:rPr>
        <w:t> </w:t>
      </w:r>
    </w:p>
    <w:p w14:paraId="10EF7875" w14:textId="77777777" w:rsidR="00A13F7C" w:rsidRPr="00A13F7C" w:rsidRDefault="00A13F7C">
      <w:pPr>
        <w:rPr>
          <w:rFonts w:ascii="Times New Roman" w:hAnsi="Times New Roman" w:cs="Times New Roman"/>
        </w:rPr>
      </w:pPr>
    </w:p>
    <w:sectPr w:rsidR="00A13F7C" w:rsidRPr="00A13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7C"/>
    <w:rsid w:val="00A1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8F7333"/>
  <w15:chartTrackingRefBased/>
  <w15:docId w15:val="{A136EC96-2248-844F-95B7-D3DC3F05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F7C"/>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A13F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3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Makenzie Hardy</dc:creator>
  <cp:keywords/>
  <dc:description/>
  <cp:lastModifiedBy>Makenzie Hardy</cp:lastModifiedBy>
  <cp:revision>1</cp:revision>
  <dcterms:created xsi:type="dcterms:W3CDTF">2023-07-01T03:43:00Z</dcterms:created>
  <dcterms:modified xsi:type="dcterms:W3CDTF">2023-07-01T03:46:00Z</dcterms:modified>
</cp:coreProperties>
</file>