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50BA4" w14:textId="77777777" w:rsidR="00E708F7" w:rsidRDefault="0025131E" w:rsidP="00E232FB">
      <w:pPr>
        <w:jc w:val="center"/>
        <w:rPr>
          <w:rFonts w:ascii="Arial" w:hAnsi="Arial" w:cs="Arial"/>
          <w:b/>
          <w:sz w:val="22"/>
          <w:szCs w:val="22"/>
        </w:rPr>
      </w:pPr>
      <w:r w:rsidRPr="00E708F7">
        <w:rPr>
          <w:rFonts w:ascii="Arial" w:hAnsi="Arial" w:cs="Arial"/>
          <w:b/>
          <w:sz w:val="22"/>
          <w:szCs w:val="22"/>
        </w:rPr>
        <w:t xml:space="preserve">Training Environment and Professional Development Boilerplate </w:t>
      </w:r>
    </w:p>
    <w:p w14:paraId="61A1874F" w14:textId="15684468" w:rsidR="0025131E" w:rsidRPr="00E708F7" w:rsidRDefault="0025131E" w:rsidP="00E232FB">
      <w:pPr>
        <w:jc w:val="center"/>
        <w:rPr>
          <w:rFonts w:ascii="Arial" w:hAnsi="Arial" w:cs="Arial"/>
          <w:b/>
          <w:sz w:val="22"/>
          <w:szCs w:val="22"/>
        </w:rPr>
      </w:pPr>
      <w:r w:rsidRPr="00E708F7">
        <w:rPr>
          <w:rFonts w:ascii="Arial" w:hAnsi="Arial" w:cs="Arial"/>
          <w:b/>
          <w:sz w:val="22"/>
          <w:szCs w:val="22"/>
        </w:rPr>
        <w:t>for BBSP-affiliated T32 and R01 Grants</w:t>
      </w:r>
    </w:p>
    <w:p w14:paraId="0CD0DAC9" w14:textId="77777777" w:rsidR="0025131E" w:rsidRPr="00E708F7" w:rsidRDefault="0025131E" w:rsidP="0025131E">
      <w:pPr>
        <w:jc w:val="both"/>
        <w:rPr>
          <w:rFonts w:ascii="Arial" w:hAnsi="Arial" w:cs="Arial"/>
          <w:sz w:val="22"/>
          <w:szCs w:val="22"/>
        </w:rPr>
      </w:pPr>
    </w:p>
    <w:p w14:paraId="436618E0" w14:textId="77777777" w:rsidR="0025131E" w:rsidRPr="00E708F7" w:rsidRDefault="008E3D4E" w:rsidP="0025131E">
      <w:pPr>
        <w:jc w:val="both"/>
        <w:rPr>
          <w:rFonts w:ascii="Arial" w:hAnsi="Arial" w:cs="Arial"/>
          <w:sz w:val="22"/>
          <w:szCs w:val="22"/>
        </w:rPr>
      </w:pPr>
      <w:r w:rsidRPr="00E708F7">
        <w:rPr>
          <w:rFonts w:ascii="Arial" w:hAnsi="Arial" w:cs="Arial"/>
          <w:b/>
          <w:i/>
          <w:sz w:val="22"/>
          <w:szCs w:val="22"/>
        </w:rPr>
        <w:t>Background:</w:t>
      </w:r>
      <w:r w:rsidRPr="00E708F7">
        <w:rPr>
          <w:rFonts w:ascii="Arial" w:hAnsi="Arial" w:cs="Arial"/>
          <w:sz w:val="22"/>
          <w:szCs w:val="22"/>
        </w:rPr>
        <w:t xml:space="preserve"> </w:t>
      </w:r>
      <w:r w:rsidR="009F2957" w:rsidRPr="00E708F7">
        <w:rPr>
          <w:rFonts w:ascii="Arial" w:hAnsi="Arial" w:cs="Arial"/>
          <w:sz w:val="22"/>
          <w:szCs w:val="22"/>
        </w:rPr>
        <w:t>T</w:t>
      </w:r>
      <w:r w:rsidR="0025131E" w:rsidRPr="00E708F7">
        <w:rPr>
          <w:rFonts w:ascii="Arial" w:hAnsi="Arial" w:cs="Arial"/>
          <w:sz w:val="22"/>
          <w:szCs w:val="22"/>
        </w:rPr>
        <w:t>raditional PhD programs in the biomedical sciences have been geared toward a singular goal: to train the next generation of academic researchers</w:t>
      </w:r>
      <w:r w:rsidR="009F2957" w:rsidRPr="00E708F7">
        <w:rPr>
          <w:rFonts w:ascii="Arial" w:hAnsi="Arial" w:cs="Arial"/>
          <w:sz w:val="22"/>
          <w:szCs w:val="22"/>
        </w:rPr>
        <w:t xml:space="preserve">. However, </w:t>
      </w:r>
      <w:r w:rsidR="0025131E" w:rsidRPr="00E708F7">
        <w:rPr>
          <w:rFonts w:ascii="Arial" w:hAnsi="Arial" w:cs="Arial"/>
          <w:sz w:val="22"/>
          <w:szCs w:val="22"/>
        </w:rPr>
        <w:t>employment options for life science PhD graduates have changed dramatically over the last 30-40 years. According to the 2006 Survey of Earned Doctorates conducted by the National Science Foundation, only 14% of PhDs in the biological sciences have obtained a tenure-track position in academia within 5-6 years of earning their doctoral degrees. During this same time the number of PhDs earned in the life sciences has steeply increased since the doubling of the NIH budget that occurred between 1999 and 2003.</w:t>
      </w:r>
    </w:p>
    <w:p w14:paraId="3ED52AA2" w14:textId="77777777" w:rsidR="0025131E" w:rsidRPr="00E708F7" w:rsidRDefault="0025131E" w:rsidP="0025131E">
      <w:pPr>
        <w:jc w:val="both"/>
        <w:rPr>
          <w:rFonts w:ascii="Arial" w:hAnsi="Arial" w:cs="Arial"/>
          <w:sz w:val="22"/>
          <w:szCs w:val="22"/>
        </w:rPr>
      </w:pPr>
    </w:p>
    <w:p w14:paraId="12D159DA" w14:textId="77777777" w:rsidR="0025131E" w:rsidRPr="00E708F7" w:rsidRDefault="0025131E" w:rsidP="0025131E">
      <w:pPr>
        <w:jc w:val="both"/>
        <w:rPr>
          <w:rFonts w:ascii="Arial" w:hAnsi="Arial" w:cs="Arial"/>
          <w:sz w:val="22"/>
          <w:szCs w:val="22"/>
        </w:rPr>
      </w:pPr>
      <w:r w:rsidRPr="00E708F7">
        <w:rPr>
          <w:rFonts w:ascii="Arial" w:hAnsi="Arial" w:cs="Arial"/>
          <w:sz w:val="22"/>
          <w:szCs w:val="22"/>
        </w:rPr>
        <w:t xml:space="preserve">In 2005, UNC-Chapel Hill responded to these concerns by creating the Training Initiatives in Biomedical and Biological Sciences (TIBBS). The TIBBS program provides career awareness and professional development programming for more than 500 life science graduate students. TIBBS is housed in the Office of Graduate Education (OGE) along with the Biological and Biomedical Sciences Program (BBSP), the umbrella recruiting and admissions program for the biomedical sciences at UNC. The goal of all TIBBS programming is to develop well-rounded, professional scientists who excel during their graduate training and secure the position of their choice following graduation. TIBBS strives to raise career awareness, teach the skills that are required for success in a variety of career paths, and provide support and training to help graduate students achieve career satisfaction. By providing </w:t>
      </w:r>
      <w:r w:rsidR="008261B7" w:rsidRPr="00E708F7">
        <w:rPr>
          <w:rFonts w:ascii="Arial" w:hAnsi="Arial" w:cs="Arial"/>
          <w:sz w:val="22"/>
          <w:szCs w:val="22"/>
        </w:rPr>
        <w:t xml:space="preserve">internships and </w:t>
      </w:r>
      <w:r w:rsidRPr="00E708F7">
        <w:rPr>
          <w:rFonts w:ascii="Arial" w:hAnsi="Arial" w:cs="Arial"/>
          <w:sz w:val="22"/>
          <w:szCs w:val="22"/>
        </w:rPr>
        <w:t>professional development support to UNC graduate students, TIBBS also plays a critical role in recruiting top students to UNC-Chapel Hill.</w:t>
      </w:r>
    </w:p>
    <w:p w14:paraId="0470C13D" w14:textId="77777777" w:rsidR="009F073E" w:rsidRPr="00E708F7" w:rsidRDefault="009F073E" w:rsidP="0025131E">
      <w:pPr>
        <w:jc w:val="both"/>
        <w:rPr>
          <w:rFonts w:ascii="Arial" w:hAnsi="Arial" w:cs="Arial"/>
          <w:sz w:val="22"/>
          <w:szCs w:val="22"/>
        </w:rPr>
      </w:pPr>
    </w:p>
    <w:p w14:paraId="74B1E7BF" w14:textId="0F74AECA" w:rsidR="0025131E" w:rsidRPr="00E708F7" w:rsidRDefault="00997E6E" w:rsidP="0025131E">
      <w:pPr>
        <w:jc w:val="both"/>
        <w:rPr>
          <w:rFonts w:ascii="Arial" w:hAnsi="Arial" w:cs="Arial"/>
          <w:sz w:val="22"/>
          <w:szCs w:val="22"/>
        </w:rPr>
      </w:pPr>
      <w:r w:rsidRPr="00E708F7">
        <w:rPr>
          <w:rFonts w:ascii="Arial" w:hAnsi="Arial" w:cs="Arial"/>
          <w:sz w:val="22"/>
          <w:szCs w:val="22"/>
        </w:rPr>
        <w:t xml:space="preserve">In 2015, in recognition of past successes in creative leadership and innovative career development ideas, UNC was one of only 17 institutions selected as an NIH Broadening Experiences in Scientific Training (NIH BEST) Consortium awardee.  </w:t>
      </w:r>
      <w:r w:rsidR="00C93ACC" w:rsidRPr="00E708F7">
        <w:rPr>
          <w:rFonts w:ascii="Arial" w:hAnsi="Arial" w:cs="Arial"/>
          <w:sz w:val="22"/>
          <w:szCs w:val="22"/>
        </w:rPr>
        <w:t>Professional development</w:t>
      </w:r>
      <w:r w:rsidR="00AE3D9B" w:rsidRPr="00E708F7">
        <w:rPr>
          <w:rFonts w:ascii="Arial" w:hAnsi="Arial" w:cs="Arial"/>
          <w:sz w:val="22"/>
          <w:szCs w:val="22"/>
        </w:rPr>
        <w:t xml:space="preserve"> programing</w:t>
      </w:r>
      <w:r w:rsidR="00C93ACC" w:rsidRPr="00E708F7">
        <w:rPr>
          <w:rFonts w:ascii="Arial" w:hAnsi="Arial" w:cs="Arial"/>
          <w:sz w:val="22"/>
          <w:szCs w:val="22"/>
        </w:rPr>
        <w:t xml:space="preserve"> </w:t>
      </w:r>
      <w:r w:rsidRPr="00E708F7">
        <w:rPr>
          <w:rFonts w:ascii="Arial" w:hAnsi="Arial" w:cs="Arial"/>
          <w:sz w:val="22"/>
          <w:szCs w:val="22"/>
        </w:rPr>
        <w:t xml:space="preserve">was </w:t>
      </w:r>
      <w:r w:rsidR="00AE3D9B" w:rsidRPr="00E708F7">
        <w:rPr>
          <w:rFonts w:ascii="Arial" w:hAnsi="Arial" w:cs="Arial"/>
          <w:sz w:val="22"/>
          <w:szCs w:val="22"/>
        </w:rPr>
        <w:t xml:space="preserve">expanded </w:t>
      </w:r>
      <w:r w:rsidRPr="00E708F7">
        <w:rPr>
          <w:rFonts w:ascii="Arial" w:hAnsi="Arial" w:cs="Arial"/>
          <w:sz w:val="22"/>
          <w:szCs w:val="22"/>
        </w:rPr>
        <w:t>through the NIH BEST initiative</w:t>
      </w:r>
      <w:r w:rsidR="00AE3D9B" w:rsidRPr="00E708F7">
        <w:rPr>
          <w:rFonts w:ascii="Arial" w:hAnsi="Arial" w:cs="Arial"/>
          <w:sz w:val="22"/>
          <w:szCs w:val="22"/>
        </w:rPr>
        <w:t xml:space="preserve"> to include experiential learning </w:t>
      </w:r>
      <w:r w:rsidR="00C93ACC" w:rsidRPr="00E708F7">
        <w:rPr>
          <w:rFonts w:ascii="Arial" w:hAnsi="Arial" w:cs="Arial"/>
          <w:sz w:val="22"/>
          <w:szCs w:val="22"/>
        </w:rPr>
        <w:t>opportunities including internships and site visits</w:t>
      </w:r>
      <w:r w:rsidR="005F2521" w:rsidRPr="00E708F7">
        <w:rPr>
          <w:rFonts w:ascii="Arial" w:hAnsi="Arial" w:cs="Arial"/>
          <w:sz w:val="22"/>
          <w:szCs w:val="22"/>
        </w:rPr>
        <w:t xml:space="preserve">. </w:t>
      </w:r>
      <w:r w:rsidR="00996B74" w:rsidRPr="00E708F7">
        <w:rPr>
          <w:rFonts w:ascii="Arial" w:hAnsi="Arial" w:cs="Arial"/>
          <w:sz w:val="22"/>
          <w:szCs w:val="22"/>
        </w:rPr>
        <w:t>TIBBS is an active participant</w:t>
      </w:r>
      <w:r w:rsidR="00B3391C" w:rsidRPr="00E708F7">
        <w:rPr>
          <w:rFonts w:ascii="Arial" w:hAnsi="Arial" w:cs="Arial"/>
          <w:sz w:val="22"/>
          <w:szCs w:val="22"/>
        </w:rPr>
        <w:t xml:space="preserve"> in</w:t>
      </w:r>
      <w:r w:rsidR="007C2E48" w:rsidRPr="00E708F7">
        <w:rPr>
          <w:rFonts w:ascii="Arial" w:hAnsi="Arial" w:cs="Arial"/>
          <w:sz w:val="22"/>
          <w:szCs w:val="22"/>
        </w:rPr>
        <w:t xml:space="preserve"> </w:t>
      </w:r>
      <w:r w:rsidR="00996B74" w:rsidRPr="00E708F7">
        <w:rPr>
          <w:rFonts w:ascii="Arial" w:hAnsi="Arial" w:cs="Arial"/>
          <w:sz w:val="22"/>
          <w:szCs w:val="22"/>
        </w:rPr>
        <w:t>identifying best practices in graduate professional development as part of the mandate of the</w:t>
      </w:r>
      <w:r w:rsidR="00B3391C" w:rsidRPr="00E708F7">
        <w:rPr>
          <w:rFonts w:ascii="Arial" w:hAnsi="Arial" w:cs="Arial"/>
          <w:sz w:val="22"/>
          <w:szCs w:val="22"/>
        </w:rPr>
        <w:t xml:space="preserve"> </w:t>
      </w:r>
      <w:r w:rsidR="007C2E48" w:rsidRPr="00E708F7">
        <w:rPr>
          <w:rFonts w:ascii="Arial" w:hAnsi="Arial" w:cs="Arial"/>
          <w:sz w:val="22"/>
          <w:szCs w:val="22"/>
        </w:rPr>
        <w:t xml:space="preserve">NIH BEST </w:t>
      </w:r>
      <w:r w:rsidR="00996B74" w:rsidRPr="00E708F7">
        <w:rPr>
          <w:rFonts w:ascii="Arial" w:hAnsi="Arial" w:cs="Arial"/>
          <w:sz w:val="22"/>
          <w:szCs w:val="22"/>
        </w:rPr>
        <w:t xml:space="preserve">consortium </w:t>
      </w:r>
      <w:r w:rsidR="00265A3B" w:rsidRPr="00E708F7">
        <w:rPr>
          <w:rFonts w:ascii="Arial" w:hAnsi="Arial" w:cs="Arial"/>
          <w:sz w:val="22"/>
          <w:szCs w:val="22"/>
        </w:rPr>
        <w:t>(</w:t>
      </w:r>
      <w:r w:rsidR="00996B74" w:rsidRPr="00E708F7">
        <w:rPr>
          <w:rFonts w:ascii="Arial" w:hAnsi="Arial" w:cs="Arial"/>
          <w:sz w:val="22"/>
          <w:szCs w:val="22"/>
        </w:rPr>
        <w:t>includ</w:t>
      </w:r>
      <w:r w:rsidR="00265A3B" w:rsidRPr="00E708F7">
        <w:rPr>
          <w:rFonts w:ascii="Arial" w:hAnsi="Arial" w:cs="Arial"/>
          <w:sz w:val="22"/>
          <w:szCs w:val="22"/>
        </w:rPr>
        <w:t>ing</w:t>
      </w:r>
      <w:r w:rsidR="007C2E48" w:rsidRPr="00E708F7">
        <w:rPr>
          <w:rFonts w:ascii="Arial" w:hAnsi="Arial" w:cs="Arial"/>
          <w:sz w:val="22"/>
          <w:szCs w:val="22"/>
        </w:rPr>
        <w:t xml:space="preserve"> </w:t>
      </w:r>
      <w:r w:rsidR="00996B74" w:rsidRPr="00E708F7">
        <w:rPr>
          <w:rFonts w:ascii="Arial" w:hAnsi="Arial" w:cs="Arial"/>
          <w:sz w:val="22"/>
          <w:szCs w:val="22"/>
        </w:rPr>
        <w:t xml:space="preserve">collective </w:t>
      </w:r>
      <w:r w:rsidR="007C2E48" w:rsidRPr="00E708F7">
        <w:rPr>
          <w:rFonts w:ascii="Arial" w:hAnsi="Arial" w:cs="Arial"/>
          <w:sz w:val="22"/>
          <w:szCs w:val="22"/>
        </w:rPr>
        <w:t>program evaluation</w:t>
      </w:r>
      <w:r w:rsidR="00996B74" w:rsidRPr="00E708F7">
        <w:rPr>
          <w:rFonts w:ascii="Arial" w:hAnsi="Arial" w:cs="Arial"/>
          <w:sz w:val="22"/>
          <w:szCs w:val="22"/>
        </w:rPr>
        <w:t xml:space="preserve"> </w:t>
      </w:r>
      <w:r w:rsidR="00265A3B" w:rsidRPr="00E708F7">
        <w:rPr>
          <w:rFonts w:ascii="Arial" w:hAnsi="Arial" w:cs="Arial"/>
          <w:sz w:val="22"/>
          <w:szCs w:val="22"/>
        </w:rPr>
        <w:t xml:space="preserve">nationally). In 2020, the ability to enhance </w:t>
      </w:r>
      <w:r w:rsidR="00DE668C" w:rsidRPr="00E708F7">
        <w:rPr>
          <w:rFonts w:ascii="Arial" w:hAnsi="Arial" w:cs="Arial"/>
          <w:sz w:val="22"/>
          <w:szCs w:val="22"/>
        </w:rPr>
        <w:t>our systematic program evaluation efforts included a Science of Science Policy Approach to Analyzing and Innovating the Biomedical Research Enterprise</w:t>
      </w:r>
      <w:r w:rsidR="00DE668C" w:rsidRPr="00E708F7" w:rsidDel="00997E6E">
        <w:rPr>
          <w:rFonts w:ascii="Arial" w:hAnsi="Arial" w:cs="Arial"/>
          <w:sz w:val="22"/>
          <w:szCs w:val="22"/>
        </w:rPr>
        <w:t xml:space="preserve"> </w:t>
      </w:r>
      <w:r w:rsidR="00DE668C" w:rsidRPr="00E708F7">
        <w:rPr>
          <w:rFonts w:ascii="Arial" w:hAnsi="Arial" w:cs="Arial"/>
          <w:sz w:val="22"/>
          <w:szCs w:val="22"/>
        </w:rPr>
        <w:t>(SCISIPBIO award) focusing on</w:t>
      </w:r>
      <w:r w:rsidR="00996B74" w:rsidRPr="00E708F7">
        <w:rPr>
          <w:rFonts w:ascii="Arial" w:hAnsi="Arial" w:cs="Arial"/>
          <w:sz w:val="22"/>
          <w:szCs w:val="22"/>
        </w:rPr>
        <w:t xml:space="preserve"> </w:t>
      </w:r>
      <w:r w:rsidR="00D96211" w:rsidRPr="00E708F7">
        <w:rPr>
          <w:rFonts w:ascii="Arial" w:hAnsi="Arial" w:cs="Arial"/>
          <w:sz w:val="22"/>
          <w:szCs w:val="22"/>
        </w:rPr>
        <w:t xml:space="preserve">professional </w:t>
      </w:r>
      <w:proofErr w:type="gramStart"/>
      <w:r w:rsidR="00D96211" w:rsidRPr="00E708F7">
        <w:rPr>
          <w:rFonts w:ascii="Arial" w:hAnsi="Arial" w:cs="Arial"/>
          <w:sz w:val="22"/>
          <w:szCs w:val="22"/>
        </w:rPr>
        <w:t>development</w:t>
      </w:r>
      <w:r w:rsidR="001F326D">
        <w:rPr>
          <w:rFonts w:ascii="Arial" w:hAnsi="Arial" w:cs="Arial"/>
          <w:sz w:val="22"/>
          <w:szCs w:val="22"/>
        </w:rPr>
        <w:t xml:space="preserve">, </w:t>
      </w:r>
      <w:r w:rsidR="00D96211" w:rsidRPr="00E708F7">
        <w:rPr>
          <w:rFonts w:ascii="Arial" w:hAnsi="Arial" w:cs="Arial"/>
          <w:sz w:val="22"/>
          <w:szCs w:val="22"/>
        </w:rPr>
        <w:t xml:space="preserve"> mental</w:t>
      </w:r>
      <w:proofErr w:type="gramEnd"/>
      <w:r w:rsidR="00D96211" w:rsidRPr="00E708F7">
        <w:rPr>
          <w:rFonts w:ascii="Arial" w:hAnsi="Arial" w:cs="Arial"/>
          <w:sz w:val="22"/>
          <w:szCs w:val="22"/>
        </w:rPr>
        <w:t xml:space="preserve"> health and wellness</w:t>
      </w:r>
      <w:r w:rsidR="001F326D">
        <w:rPr>
          <w:rFonts w:ascii="Arial" w:hAnsi="Arial" w:cs="Arial"/>
          <w:sz w:val="22"/>
          <w:szCs w:val="22"/>
        </w:rPr>
        <w:t>,</w:t>
      </w:r>
      <w:r w:rsidR="00D96211" w:rsidRPr="00E708F7">
        <w:rPr>
          <w:rFonts w:ascii="Arial" w:hAnsi="Arial" w:cs="Arial"/>
          <w:sz w:val="22"/>
          <w:szCs w:val="22"/>
        </w:rPr>
        <w:t xml:space="preserve"> and mentor</w:t>
      </w:r>
      <w:r w:rsidR="00167AED" w:rsidRPr="00E708F7">
        <w:rPr>
          <w:rFonts w:ascii="Arial" w:hAnsi="Arial" w:cs="Arial"/>
          <w:sz w:val="22"/>
          <w:szCs w:val="22"/>
        </w:rPr>
        <w:t>ing</w:t>
      </w:r>
      <w:r w:rsidR="005B1A7F" w:rsidRPr="00E708F7">
        <w:rPr>
          <w:rFonts w:ascii="Arial" w:hAnsi="Arial" w:cs="Arial"/>
          <w:sz w:val="22"/>
          <w:szCs w:val="22"/>
        </w:rPr>
        <w:t>.</w:t>
      </w:r>
      <w:r w:rsidR="007D3E36" w:rsidRPr="00E708F7">
        <w:rPr>
          <w:rFonts w:ascii="Arial" w:hAnsi="Arial" w:cs="Arial"/>
          <w:sz w:val="22"/>
          <w:szCs w:val="22"/>
        </w:rPr>
        <w:t xml:space="preserve"> </w:t>
      </w:r>
      <w:r w:rsidR="005242E1" w:rsidRPr="00E708F7">
        <w:rPr>
          <w:rFonts w:ascii="Arial" w:hAnsi="Arial" w:cs="Arial"/>
          <w:sz w:val="22"/>
          <w:szCs w:val="22"/>
        </w:rPr>
        <w:t xml:space="preserve">Establishing the </w:t>
      </w:r>
      <w:r w:rsidR="00C13846" w:rsidRPr="00E708F7">
        <w:rPr>
          <w:rFonts w:ascii="Arial" w:hAnsi="Arial" w:cs="Arial"/>
          <w:sz w:val="22"/>
          <w:szCs w:val="22"/>
        </w:rPr>
        <w:t>PhD Integrated Research on Education and Career Training Lab (</w:t>
      </w:r>
      <w:proofErr w:type="spellStart"/>
      <w:r w:rsidR="005242E1" w:rsidRPr="00E708F7">
        <w:rPr>
          <w:rFonts w:ascii="Arial" w:hAnsi="Arial" w:cs="Arial"/>
          <w:sz w:val="22"/>
          <w:szCs w:val="22"/>
        </w:rPr>
        <w:t>P</w:t>
      </w:r>
      <w:r w:rsidR="00C13846" w:rsidRPr="00E708F7">
        <w:rPr>
          <w:rFonts w:ascii="Arial" w:hAnsi="Arial" w:cs="Arial"/>
          <w:sz w:val="22"/>
          <w:szCs w:val="22"/>
        </w:rPr>
        <w:t>h</w:t>
      </w:r>
      <w:r w:rsidR="005242E1" w:rsidRPr="00E708F7">
        <w:rPr>
          <w:rFonts w:ascii="Arial" w:hAnsi="Arial" w:cs="Arial"/>
          <w:sz w:val="22"/>
          <w:szCs w:val="22"/>
        </w:rPr>
        <w:t>D</w:t>
      </w:r>
      <w:r w:rsidR="00410A90" w:rsidRPr="00E708F7">
        <w:rPr>
          <w:rFonts w:ascii="Arial" w:hAnsi="Arial" w:cs="Arial"/>
          <w:sz w:val="22"/>
          <w:szCs w:val="22"/>
        </w:rPr>
        <w:t>IRECT</w:t>
      </w:r>
      <w:proofErr w:type="spellEnd"/>
      <w:r w:rsidR="005242E1" w:rsidRPr="00E708F7">
        <w:rPr>
          <w:rFonts w:ascii="Arial" w:hAnsi="Arial" w:cs="Arial"/>
          <w:sz w:val="22"/>
          <w:szCs w:val="22"/>
        </w:rPr>
        <w:t xml:space="preserve"> Lab</w:t>
      </w:r>
      <w:r w:rsidR="00C13846" w:rsidRPr="00E708F7">
        <w:rPr>
          <w:rFonts w:ascii="Arial" w:hAnsi="Arial" w:cs="Arial"/>
          <w:sz w:val="22"/>
          <w:szCs w:val="22"/>
        </w:rPr>
        <w:t>)</w:t>
      </w:r>
      <w:r w:rsidR="005242E1" w:rsidRPr="00E708F7">
        <w:rPr>
          <w:rFonts w:ascii="Arial" w:hAnsi="Arial" w:cs="Arial"/>
          <w:sz w:val="22"/>
          <w:szCs w:val="22"/>
        </w:rPr>
        <w:t xml:space="preserve"> has allowed for on-going evidence-based evaluation of best practices in biomedical </w:t>
      </w:r>
      <w:r w:rsidR="003A455C" w:rsidRPr="00E708F7">
        <w:rPr>
          <w:rFonts w:ascii="Arial" w:hAnsi="Arial" w:cs="Arial"/>
          <w:sz w:val="22"/>
          <w:szCs w:val="22"/>
        </w:rPr>
        <w:t>graduate education and training.</w:t>
      </w:r>
    </w:p>
    <w:p w14:paraId="68147921" w14:textId="77777777" w:rsidR="008E3D4E" w:rsidRPr="00E708F7" w:rsidRDefault="008E3D4E" w:rsidP="0025131E">
      <w:pPr>
        <w:jc w:val="both"/>
        <w:rPr>
          <w:rFonts w:ascii="Arial" w:hAnsi="Arial" w:cs="Arial"/>
          <w:sz w:val="22"/>
          <w:szCs w:val="22"/>
        </w:rPr>
      </w:pPr>
    </w:p>
    <w:p w14:paraId="7477D2CF" w14:textId="50C23BF8" w:rsidR="008E3D4E" w:rsidRPr="00E708F7" w:rsidRDefault="008E3D4E" w:rsidP="0025131E">
      <w:pPr>
        <w:jc w:val="both"/>
        <w:rPr>
          <w:rFonts w:ascii="Arial" w:hAnsi="Arial" w:cs="Arial"/>
          <w:sz w:val="22"/>
          <w:szCs w:val="22"/>
        </w:rPr>
      </w:pPr>
      <w:r w:rsidRPr="00E708F7">
        <w:rPr>
          <w:rFonts w:ascii="Arial" w:hAnsi="Arial" w:cs="Arial"/>
          <w:sz w:val="22"/>
          <w:szCs w:val="22"/>
        </w:rPr>
        <w:t xml:space="preserve">One major program that was initiated as part of the </w:t>
      </w:r>
      <w:r w:rsidR="00E0504C">
        <w:rPr>
          <w:rFonts w:ascii="Arial" w:hAnsi="Arial" w:cs="Arial"/>
          <w:sz w:val="22"/>
          <w:szCs w:val="22"/>
        </w:rPr>
        <w:t>NIH BEST award</w:t>
      </w:r>
      <w:r w:rsidRPr="00E708F7">
        <w:rPr>
          <w:rFonts w:ascii="Arial" w:hAnsi="Arial" w:cs="Arial"/>
          <w:sz w:val="22"/>
          <w:szCs w:val="22"/>
        </w:rPr>
        <w:t xml:space="preserve"> was the Immersion Program to Advance Career Training (</w:t>
      </w:r>
      <w:proofErr w:type="spellStart"/>
      <w:r w:rsidRPr="00E708F7">
        <w:rPr>
          <w:rFonts w:ascii="Arial" w:hAnsi="Arial" w:cs="Arial"/>
          <w:sz w:val="22"/>
          <w:szCs w:val="22"/>
        </w:rPr>
        <w:t>ImPACT</w:t>
      </w:r>
      <w:proofErr w:type="spellEnd"/>
      <w:r w:rsidRPr="00E708F7">
        <w:rPr>
          <w:rFonts w:ascii="Arial" w:hAnsi="Arial" w:cs="Arial"/>
          <w:sz w:val="22"/>
          <w:szCs w:val="22"/>
        </w:rPr>
        <w:t xml:space="preserve">), which is now funded by </w:t>
      </w:r>
      <w:r w:rsidR="00DE5D15" w:rsidRPr="00E708F7">
        <w:rPr>
          <w:rFonts w:ascii="Arial" w:hAnsi="Arial" w:cs="Arial"/>
          <w:sz w:val="22"/>
          <w:szCs w:val="22"/>
        </w:rPr>
        <w:t>UNC</w:t>
      </w:r>
      <w:r w:rsidRPr="00E708F7">
        <w:rPr>
          <w:rFonts w:ascii="Arial" w:hAnsi="Arial" w:cs="Arial"/>
          <w:sz w:val="22"/>
          <w:szCs w:val="22"/>
        </w:rPr>
        <w:t xml:space="preserve">. </w:t>
      </w:r>
      <w:proofErr w:type="spellStart"/>
      <w:r w:rsidRPr="00E708F7">
        <w:rPr>
          <w:rFonts w:ascii="Arial" w:hAnsi="Arial" w:cs="Arial"/>
          <w:sz w:val="22"/>
          <w:szCs w:val="22"/>
        </w:rPr>
        <w:t>ImPACT</w:t>
      </w:r>
      <w:proofErr w:type="spellEnd"/>
      <w:r w:rsidRPr="00E708F7">
        <w:rPr>
          <w:rFonts w:ascii="Arial" w:hAnsi="Arial" w:cs="Arial"/>
          <w:sz w:val="22"/>
          <w:szCs w:val="22"/>
        </w:rPr>
        <w:t xml:space="preserve"> continues to provide 160-hour paid internships for 25 graduate students each year.  To date, more than </w:t>
      </w:r>
      <w:r w:rsidR="00DE5D15" w:rsidRPr="00E708F7">
        <w:rPr>
          <w:rFonts w:ascii="Arial" w:hAnsi="Arial" w:cs="Arial"/>
          <w:sz w:val="22"/>
          <w:szCs w:val="22"/>
        </w:rPr>
        <w:t xml:space="preserve">200 </w:t>
      </w:r>
      <w:r w:rsidRPr="00E708F7">
        <w:rPr>
          <w:rFonts w:ascii="Arial" w:hAnsi="Arial" w:cs="Arial"/>
          <w:sz w:val="22"/>
          <w:szCs w:val="22"/>
        </w:rPr>
        <w:t xml:space="preserve">interns have been placed with over </w:t>
      </w:r>
      <w:r w:rsidR="00DE5D15" w:rsidRPr="00E708F7">
        <w:rPr>
          <w:rFonts w:ascii="Arial" w:hAnsi="Arial" w:cs="Arial"/>
          <w:sz w:val="22"/>
          <w:szCs w:val="22"/>
        </w:rPr>
        <w:t>7</w:t>
      </w:r>
      <w:r w:rsidRPr="00E708F7">
        <w:rPr>
          <w:rFonts w:ascii="Arial" w:hAnsi="Arial" w:cs="Arial"/>
          <w:sz w:val="22"/>
          <w:szCs w:val="22"/>
        </w:rPr>
        <w:t xml:space="preserve">0 local employers in the government, non-profit and corporate </w:t>
      </w:r>
      <w:r w:rsidR="00DE5D15" w:rsidRPr="00E708F7">
        <w:rPr>
          <w:rFonts w:ascii="Arial" w:hAnsi="Arial" w:cs="Arial"/>
          <w:sz w:val="22"/>
          <w:szCs w:val="22"/>
        </w:rPr>
        <w:t>sectors</w:t>
      </w:r>
      <w:r w:rsidRPr="00E708F7">
        <w:rPr>
          <w:rFonts w:ascii="Arial" w:hAnsi="Arial" w:cs="Arial"/>
          <w:sz w:val="22"/>
          <w:szCs w:val="22"/>
        </w:rPr>
        <w:t xml:space="preserve">.  Many internships are in the research and development realm, but others are available to trainees interested in science writing, science policy, teaching, outreach, program administration, business development, etc. </w:t>
      </w:r>
    </w:p>
    <w:p w14:paraId="33DF37A6" w14:textId="77777777" w:rsidR="008E3D4E" w:rsidRPr="00E708F7" w:rsidRDefault="008E3D4E" w:rsidP="0025131E">
      <w:pPr>
        <w:jc w:val="both"/>
        <w:rPr>
          <w:rFonts w:ascii="Arial" w:hAnsi="Arial" w:cs="Arial"/>
          <w:sz w:val="22"/>
          <w:szCs w:val="22"/>
        </w:rPr>
      </w:pPr>
    </w:p>
    <w:p w14:paraId="1566BD3D" w14:textId="28EA582B" w:rsidR="008E3D4E" w:rsidRPr="00E708F7" w:rsidRDefault="008E3D4E" w:rsidP="0025131E">
      <w:pPr>
        <w:jc w:val="both"/>
        <w:rPr>
          <w:rFonts w:ascii="Arial" w:hAnsi="Arial" w:cs="Arial"/>
          <w:sz w:val="22"/>
          <w:szCs w:val="22"/>
        </w:rPr>
      </w:pPr>
      <w:r w:rsidRPr="00E708F7">
        <w:rPr>
          <w:rFonts w:ascii="Arial" w:hAnsi="Arial" w:cs="Arial"/>
          <w:sz w:val="22"/>
          <w:szCs w:val="22"/>
        </w:rPr>
        <w:t>TIBBS also hosts industry site visits for trainees with some of our industry partners in collaboration with the</w:t>
      </w:r>
      <w:r w:rsidR="0045663F" w:rsidRPr="00E708F7">
        <w:rPr>
          <w:rFonts w:ascii="Arial" w:hAnsi="Arial" w:cs="Arial"/>
          <w:sz w:val="22"/>
          <w:szCs w:val="22"/>
        </w:rPr>
        <w:t xml:space="preserve"> RTP-centric</w:t>
      </w:r>
      <w:r w:rsidRPr="00E708F7">
        <w:rPr>
          <w:rFonts w:ascii="Arial" w:hAnsi="Arial" w:cs="Arial"/>
          <w:sz w:val="22"/>
          <w:szCs w:val="22"/>
        </w:rPr>
        <w:t xml:space="preserve"> Enhancing </w:t>
      </w:r>
      <w:r w:rsidR="0045663F" w:rsidRPr="00E708F7">
        <w:rPr>
          <w:rFonts w:ascii="Arial" w:hAnsi="Arial" w:cs="Arial"/>
          <w:sz w:val="22"/>
          <w:szCs w:val="22"/>
        </w:rPr>
        <w:t>Local Industry Transitions through Exploration (</w:t>
      </w:r>
      <w:r w:rsidRPr="00E708F7">
        <w:rPr>
          <w:rFonts w:ascii="Arial" w:hAnsi="Arial" w:cs="Arial"/>
          <w:sz w:val="22"/>
          <w:szCs w:val="22"/>
        </w:rPr>
        <w:t>ELITE</w:t>
      </w:r>
      <w:r w:rsidR="0045663F" w:rsidRPr="00E708F7">
        <w:rPr>
          <w:rFonts w:ascii="Arial" w:hAnsi="Arial" w:cs="Arial"/>
          <w:sz w:val="22"/>
          <w:szCs w:val="22"/>
        </w:rPr>
        <w:t>)</w:t>
      </w:r>
      <w:r w:rsidRPr="00E708F7">
        <w:rPr>
          <w:rFonts w:ascii="Arial" w:hAnsi="Arial" w:cs="Arial"/>
          <w:sz w:val="22"/>
          <w:szCs w:val="22"/>
        </w:rPr>
        <w:t xml:space="preserve"> Consortium. Th</w:t>
      </w:r>
      <w:r w:rsidR="0045663F" w:rsidRPr="00E708F7">
        <w:rPr>
          <w:rFonts w:ascii="Arial" w:hAnsi="Arial" w:cs="Arial"/>
          <w:sz w:val="22"/>
          <w:szCs w:val="22"/>
        </w:rPr>
        <w:t>is local collaborative program provides monthly activities co-organized by partners institutions. The mission of the ELITE Consortium is to connect companies that hire PhDs with PhD students and postdocs from the National Institute of Environmental Health Sciences (NIEHS), the University of North Carolina</w:t>
      </w:r>
      <w:r w:rsidR="003910B3">
        <w:rPr>
          <w:rFonts w:ascii="Arial" w:hAnsi="Arial" w:cs="Arial"/>
          <w:sz w:val="22"/>
          <w:szCs w:val="22"/>
        </w:rPr>
        <w:t xml:space="preserve"> at Chapel Hill,</w:t>
      </w:r>
      <w:r w:rsidR="0045663F" w:rsidRPr="00E708F7">
        <w:rPr>
          <w:rFonts w:ascii="Arial" w:hAnsi="Arial" w:cs="Arial"/>
          <w:sz w:val="22"/>
          <w:szCs w:val="22"/>
        </w:rPr>
        <w:t xml:space="preserve"> and Duke University. ELITE helps trainees explore industry career options through site visits to leading Research Triangle Park, NC, life-science companies, and to other employers beyond the traditional tenure-track (e.g., University-operated co</w:t>
      </w:r>
      <w:r w:rsidR="00CB3989" w:rsidRPr="00E708F7">
        <w:rPr>
          <w:rFonts w:ascii="Arial" w:hAnsi="Arial" w:cs="Arial"/>
          <w:sz w:val="22"/>
          <w:szCs w:val="22"/>
        </w:rPr>
        <w:t>ntract research organizations</w:t>
      </w:r>
      <w:r w:rsidR="0045663F" w:rsidRPr="00E708F7">
        <w:rPr>
          <w:rFonts w:ascii="Arial" w:hAnsi="Arial" w:cs="Arial"/>
          <w:sz w:val="22"/>
          <w:szCs w:val="22"/>
        </w:rPr>
        <w:t>. Site visits allow trainees to learn about the different types of industry jobs open to PhDs and how best to prepare for them. These visits also provide an excellent opportunity to network with industry professionals, and to experience company culture first-hand. ELITE also benefits participating companies, who can gain positive exposure among PhD trainees and identify talent for future hiring.</w:t>
      </w:r>
    </w:p>
    <w:p w14:paraId="21769026" w14:textId="77777777" w:rsidR="008E3D4E" w:rsidRPr="00E708F7" w:rsidRDefault="008E3D4E" w:rsidP="0025131E">
      <w:pPr>
        <w:jc w:val="both"/>
        <w:rPr>
          <w:rFonts w:ascii="Arial" w:hAnsi="Arial" w:cs="Arial"/>
          <w:sz w:val="22"/>
          <w:szCs w:val="22"/>
        </w:rPr>
      </w:pPr>
    </w:p>
    <w:p w14:paraId="5C84C41D" w14:textId="0EDED6A9" w:rsidR="0025131E" w:rsidRPr="00E708F7" w:rsidRDefault="008261B7" w:rsidP="0025131E">
      <w:pPr>
        <w:jc w:val="both"/>
        <w:rPr>
          <w:rFonts w:ascii="Arial" w:hAnsi="Arial" w:cs="Arial"/>
          <w:sz w:val="22"/>
          <w:szCs w:val="22"/>
        </w:rPr>
      </w:pPr>
      <w:r w:rsidRPr="00E708F7">
        <w:rPr>
          <w:rFonts w:ascii="Arial" w:hAnsi="Arial" w:cs="Arial"/>
          <w:sz w:val="22"/>
          <w:szCs w:val="22"/>
        </w:rPr>
        <w:t>In a typical</w:t>
      </w:r>
      <w:r w:rsidR="0025131E" w:rsidRPr="00E708F7">
        <w:rPr>
          <w:rFonts w:ascii="Arial" w:hAnsi="Arial" w:cs="Arial"/>
          <w:sz w:val="22"/>
          <w:szCs w:val="22"/>
        </w:rPr>
        <w:t xml:space="preserve"> </w:t>
      </w:r>
      <w:r w:rsidR="009F073E" w:rsidRPr="00E708F7">
        <w:rPr>
          <w:rFonts w:ascii="Arial" w:hAnsi="Arial" w:cs="Arial"/>
          <w:sz w:val="22"/>
          <w:szCs w:val="22"/>
        </w:rPr>
        <w:t>academic year, TIBBS provide</w:t>
      </w:r>
      <w:r w:rsidR="008E3D4E" w:rsidRPr="00E708F7">
        <w:rPr>
          <w:rFonts w:ascii="Arial" w:hAnsi="Arial" w:cs="Arial"/>
          <w:sz w:val="22"/>
          <w:szCs w:val="22"/>
        </w:rPr>
        <w:t>s</w:t>
      </w:r>
      <w:r w:rsidR="0025131E" w:rsidRPr="00E708F7">
        <w:rPr>
          <w:rFonts w:ascii="Arial" w:hAnsi="Arial" w:cs="Arial"/>
          <w:sz w:val="22"/>
          <w:szCs w:val="22"/>
        </w:rPr>
        <w:t xml:space="preserve"> </w:t>
      </w:r>
      <w:r w:rsidR="005F2521" w:rsidRPr="00E708F7">
        <w:rPr>
          <w:rFonts w:ascii="Arial" w:hAnsi="Arial" w:cs="Arial"/>
          <w:sz w:val="22"/>
          <w:szCs w:val="22"/>
        </w:rPr>
        <w:t xml:space="preserve">more than </w:t>
      </w:r>
      <w:r w:rsidR="007D0540" w:rsidRPr="00E708F7">
        <w:rPr>
          <w:rFonts w:ascii="Arial" w:hAnsi="Arial" w:cs="Arial"/>
          <w:sz w:val="22"/>
          <w:szCs w:val="22"/>
        </w:rPr>
        <w:t>6</w:t>
      </w:r>
      <w:r w:rsidR="00D82944" w:rsidRPr="00E708F7">
        <w:rPr>
          <w:rFonts w:ascii="Arial" w:hAnsi="Arial" w:cs="Arial"/>
          <w:sz w:val="22"/>
          <w:szCs w:val="22"/>
        </w:rPr>
        <w:t>0</w:t>
      </w:r>
      <w:r w:rsidR="0025131E" w:rsidRPr="00E708F7">
        <w:rPr>
          <w:rFonts w:ascii="Arial" w:hAnsi="Arial" w:cs="Arial"/>
          <w:sz w:val="22"/>
          <w:szCs w:val="22"/>
        </w:rPr>
        <w:t xml:space="preserve"> career awareness and professional development events. </w:t>
      </w:r>
      <w:r w:rsidRPr="00E708F7">
        <w:rPr>
          <w:rFonts w:ascii="Arial" w:hAnsi="Arial" w:cs="Arial"/>
          <w:sz w:val="22"/>
          <w:szCs w:val="22"/>
        </w:rPr>
        <w:t>These events are attended by</w:t>
      </w:r>
      <w:r w:rsidR="0025131E" w:rsidRPr="00E708F7">
        <w:rPr>
          <w:rFonts w:ascii="Arial" w:hAnsi="Arial" w:cs="Arial"/>
          <w:sz w:val="22"/>
          <w:szCs w:val="22"/>
        </w:rPr>
        <w:t xml:space="preserve"> </w:t>
      </w:r>
      <w:r w:rsidR="00D82944" w:rsidRPr="00E708F7">
        <w:rPr>
          <w:rFonts w:ascii="Arial" w:hAnsi="Arial" w:cs="Arial"/>
          <w:sz w:val="22"/>
          <w:szCs w:val="22"/>
        </w:rPr>
        <w:t>more than 1</w:t>
      </w:r>
      <w:r w:rsidR="007D0540" w:rsidRPr="00E708F7">
        <w:rPr>
          <w:rFonts w:ascii="Arial" w:hAnsi="Arial" w:cs="Arial"/>
          <w:sz w:val="22"/>
          <w:szCs w:val="22"/>
        </w:rPr>
        <w:t>0</w:t>
      </w:r>
      <w:r w:rsidR="005F2521" w:rsidRPr="00E708F7">
        <w:rPr>
          <w:rFonts w:ascii="Arial" w:hAnsi="Arial" w:cs="Arial"/>
          <w:sz w:val="22"/>
          <w:szCs w:val="22"/>
        </w:rPr>
        <w:t>00</w:t>
      </w:r>
      <w:r w:rsidRPr="00E708F7">
        <w:rPr>
          <w:rFonts w:ascii="Arial" w:hAnsi="Arial" w:cs="Arial"/>
          <w:sz w:val="22"/>
          <w:szCs w:val="22"/>
        </w:rPr>
        <w:t xml:space="preserve"> </w:t>
      </w:r>
      <w:r w:rsidR="0025131E" w:rsidRPr="00E708F7">
        <w:rPr>
          <w:rFonts w:ascii="Arial" w:hAnsi="Arial" w:cs="Arial"/>
          <w:sz w:val="22"/>
          <w:szCs w:val="22"/>
        </w:rPr>
        <w:t xml:space="preserve">registrations over the course of </w:t>
      </w:r>
      <w:r w:rsidRPr="00E708F7">
        <w:rPr>
          <w:rFonts w:ascii="Arial" w:hAnsi="Arial" w:cs="Arial"/>
          <w:sz w:val="22"/>
          <w:szCs w:val="22"/>
        </w:rPr>
        <w:t>a</w:t>
      </w:r>
      <w:r w:rsidR="0025131E" w:rsidRPr="00E708F7">
        <w:rPr>
          <w:rFonts w:ascii="Arial" w:hAnsi="Arial" w:cs="Arial"/>
          <w:sz w:val="22"/>
          <w:szCs w:val="22"/>
        </w:rPr>
        <w:t xml:space="preserve"> year. Registrants included graduate students, postdoctoral scholars, undergraduates, faculty, and staff, and these registrants came from a variety of departments and curricula. </w:t>
      </w:r>
      <w:r w:rsidRPr="00E708F7">
        <w:rPr>
          <w:rFonts w:ascii="Arial" w:hAnsi="Arial" w:cs="Arial"/>
          <w:sz w:val="22"/>
          <w:szCs w:val="22"/>
        </w:rPr>
        <w:t xml:space="preserve"> </w:t>
      </w:r>
      <w:r w:rsidR="005F2521" w:rsidRPr="00E708F7">
        <w:rPr>
          <w:rFonts w:ascii="Arial" w:hAnsi="Arial" w:cs="Arial"/>
          <w:sz w:val="22"/>
          <w:szCs w:val="22"/>
        </w:rPr>
        <w:t>On average</w:t>
      </w:r>
      <w:r w:rsidR="0045663F" w:rsidRPr="00E708F7">
        <w:rPr>
          <w:rFonts w:ascii="Arial" w:hAnsi="Arial" w:cs="Arial"/>
          <w:sz w:val="22"/>
          <w:szCs w:val="22"/>
        </w:rPr>
        <w:t>, more than</w:t>
      </w:r>
      <w:r w:rsidRPr="00E708F7">
        <w:rPr>
          <w:rFonts w:ascii="Arial" w:hAnsi="Arial" w:cs="Arial"/>
          <w:sz w:val="22"/>
          <w:szCs w:val="22"/>
        </w:rPr>
        <w:t xml:space="preserve"> 85</w:t>
      </w:r>
      <w:r w:rsidR="0025131E" w:rsidRPr="00E708F7">
        <w:rPr>
          <w:rFonts w:ascii="Arial" w:hAnsi="Arial" w:cs="Arial"/>
          <w:sz w:val="22"/>
          <w:szCs w:val="22"/>
        </w:rPr>
        <w:t xml:space="preserve">% of graduate students in BBSP-affiliated programs </w:t>
      </w:r>
      <w:r w:rsidR="0045663F" w:rsidRPr="00E708F7">
        <w:rPr>
          <w:rFonts w:ascii="Arial" w:hAnsi="Arial" w:cs="Arial"/>
          <w:sz w:val="22"/>
          <w:szCs w:val="22"/>
        </w:rPr>
        <w:t xml:space="preserve">annually </w:t>
      </w:r>
      <w:r w:rsidRPr="00E708F7">
        <w:rPr>
          <w:rFonts w:ascii="Arial" w:hAnsi="Arial" w:cs="Arial"/>
          <w:sz w:val="22"/>
          <w:szCs w:val="22"/>
        </w:rPr>
        <w:t>take</w:t>
      </w:r>
      <w:r w:rsidR="0025131E" w:rsidRPr="00E708F7">
        <w:rPr>
          <w:rFonts w:ascii="Arial" w:hAnsi="Arial" w:cs="Arial"/>
          <w:sz w:val="22"/>
          <w:szCs w:val="22"/>
        </w:rPr>
        <w:t xml:space="preserve"> advantage of </w:t>
      </w:r>
      <w:r w:rsidRPr="00E708F7">
        <w:rPr>
          <w:rFonts w:ascii="Arial" w:hAnsi="Arial" w:cs="Arial"/>
          <w:sz w:val="22"/>
          <w:szCs w:val="22"/>
        </w:rPr>
        <w:t xml:space="preserve">at least one </w:t>
      </w:r>
      <w:r w:rsidR="0025131E" w:rsidRPr="00E708F7">
        <w:rPr>
          <w:rFonts w:ascii="Arial" w:hAnsi="Arial" w:cs="Arial"/>
          <w:sz w:val="22"/>
          <w:szCs w:val="22"/>
        </w:rPr>
        <w:t>TIBBS professional development and career awareness events.</w:t>
      </w:r>
      <w:r w:rsidR="007D0540" w:rsidRPr="00E708F7">
        <w:rPr>
          <w:rFonts w:ascii="Arial" w:hAnsi="Arial" w:cs="Arial"/>
          <w:sz w:val="22"/>
          <w:szCs w:val="22"/>
        </w:rPr>
        <w:t xml:space="preserve"> Although funded by TIBBS, many of these </w:t>
      </w:r>
      <w:r w:rsidR="00203660" w:rsidRPr="00E708F7">
        <w:rPr>
          <w:rFonts w:ascii="Arial" w:hAnsi="Arial" w:cs="Arial"/>
          <w:sz w:val="22"/>
          <w:szCs w:val="22"/>
        </w:rPr>
        <w:t xml:space="preserve">events are planned by trainees in Career Cohorts that are focused on specific career </w:t>
      </w:r>
      <w:r w:rsidR="00896858" w:rsidRPr="00E708F7">
        <w:rPr>
          <w:rFonts w:ascii="Arial" w:hAnsi="Arial" w:cs="Arial"/>
          <w:sz w:val="22"/>
          <w:szCs w:val="22"/>
        </w:rPr>
        <w:t>options. More about Career Cohorts can be found below.</w:t>
      </w:r>
    </w:p>
    <w:p w14:paraId="6C648338" w14:textId="77777777" w:rsidR="0025131E" w:rsidRPr="00E708F7" w:rsidRDefault="0025131E" w:rsidP="0025131E">
      <w:pPr>
        <w:jc w:val="both"/>
        <w:rPr>
          <w:rFonts w:ascii="Arial" w:hAnsi="Arial" w:cs="Arial"/>
          <w:sz w:val="22"/>
          <w:szCs w:val="22"/>
        </w:rPr>
      </w:pPr>
    </w:p>
    <w:p w14:paraId="670AF0C1" w14:textId="77777777" w:rsidR="0025131E" w:rsidRPr="00E708F7" w:rsidRDefault="0025131E" w:rsidP="0025131E">
      <w:pPr>
        <w:jc w:val="both"/>
        <w:rPr>
          <w:rFonts w:ascii="Arial" w:hAnsi="Arial" w:cs="Arial"/>
          <w:sz w:val="22"/>
          <w:szCs w:val="22"/>
        </w:rPr>
      </w:pPr>
      <w:r w:rsidRPr="00E708F7">
        <w:rPr>
          <w:rFonts w:ascii="Arial" w:hAnsi="Arial" w:cs="Arial"/>
          <w:b/>
          <w:i/>
          <w:sz w:val="22"/>
          <w:szCs w:val="22"/>
        </w:rPr>
        <w:t>Annual TIBBS Programming</w:t>
      </w:r>
      <w:r w:rsidRPr="00E708F7">
        <w:rPr>
          <w:rFonts w:ascii="Arial" w:hAnsi="Arial" w:cs="Arial"/>
          <w:b/>
          <w:sz w:val="22"/>
          <w:szCs w:val="22"/>
        </w:rPr>
        <w:t>.</w:t>
      </w:r>
      <w:r w:rsidRPr="00E708F7">
        <w:rPr>
          <w:rFonts w:ascii="Arial" w:hAnsi="Arial" w:cs="Arial"/>
          <w:sz w:val="22"/>
          <w:szCs w:val="22"/>
        </w:rPr>
        <w:t xml:space="preserve"> TIBBS</w:t>
      </w:r>
      <w:r w:rsidR="009F073E" w:rsidRPr="00E708F7">
        <w:rPr>
          <w:rFonts w:ascii="Arial" w:hAnsi="Arial" w:cs="Arial"/>
          <w:sz w:val="22"/>
          <w:szCs w:val="22"/>
        </w:rPr>
        <w:t xml:space="preserve"> provide</w:t>
      </w:r>
      <w:r w:rsidRPr="00E708F7">
        <w:rPr>
          <w:rFonts w:ascii="Arial" w:hAnsi="Arial" w:cs="Arial"/>
          <w:sz w:val="22"/>
          <w:szCs w:val="22"/>
        </w:rPr>
        <w:t xml:space="preserve"> a core set of annual programs that are supplemented by smaller workshops and events on an as-needed basis. Some of the annual programs include the following: </w:t>
      </w:r>
    </w:p>
    <w:p w14:paraId="29C30E3B" w14:textId="77777777" w:rsidR="0025131E" w:rsidRPr="00E708F7" w:rsidRDefault="0025131E" w:rsidP="0025131E">
      <w:pPr>
        <w:jc w:val="both"/>
        <w:rPr>
          <w:rFonts w:ascii="Arial" w:hAnsi="Arial" w:cs="Arial"/>
          <w:sz w:val="22"/>
          <w:szCs w:val="22"/>
        </w:rPr>
      </w:pPr>
    </w:p>
    <w:p w14:paraId="3B05B969" w14:textId="180F99FB" w:rsidR="0025131E" w:rsidRPr="00E708F7" w:rsidRDefault="0025131E" w:rsidP="0025131E">
      <w:pPr>
        <w:pStyle w:val="ColorfulList-Accent11"/>
        <w:numPr>
          <w:ilvl w:val="0"/>
          <w:numId w:val="1"/>
        </w:numPr>
        <w:jc w:val="both"/>
        <w:rPr>
          <w:rFonts w:ascii="Arial" w:hAnsi="Arial" w:cs="Arial"/>
          <w:sz w:val="22"/>
          <w:szCs w:val="22"/>
        </w:rPr>
      </w:pPr>
      <w:r w:rsidRPr="00E708F7">
        <w:rPr>
          <w:rFonts w:ascii="Arial" w:hAnsi="Arial" w:cs="Arial"/>
          <w:i/>
          <w:sz w:val="22"/>
          <w:szCs w:val="22"/>
        </w:rPr>
        <w:t>The TIBBS Career Blitz</w:t>
      </w:r>
      <w:r w:rsidRPr="00E708F7">
        <w:rPr>
          <w:rFonts w:ascii="Arial" w:hAnsi="Arial" w:cs="Arial"/>
          <w:sz w:val="22"/>
          <w:szCs w:val="22"/>
        </w:rPr>
        <w:t>. Regularly drawing 1</w:t>
      </w:r>
      <w:r w:rsidR="00896858" w:rsidRPr="00E708F7">
        <w:rPr>
          <w:rFonts w:ascii="Arial" w:hAnsi="Arial" w:cs="Arial"/>
          <w:sz w:val="22"/>
          <w:szCs w:val="22"/>
        </w:rPr>
        <w:t>5</w:t>
      </w:r>
      <w:r w:rsidRPr="00E708F7">
        <w:rPr>
          <w:rFonts w:ascii="Arial" w:hAnsi="Arial" w:cs="Arial"/>
          <w:sz w:val="22"/>
          <w:szCs w:val="22"/>
        </w:rPr>
        <w:t>0</w:t>
      </w:r>
      <w:r w:rsidR="00065965" w:rsidRPr="00E708F7">
        <w:rPr>
          <w:rFonts w:ascii="Arial" w:hAnsi="Arial" w:cs="Arial"/>
          <w:sz w:val="22"/>
          <w:szCs w:val="22"/>
        </w:rPr>
        <w:t>+</w:t>
      </w:r>
      <w:r w:rsidRPr="00E708F7">
        <w:rPr>
          <w:rFonts w:ascii="Arial" w:hAnsi="Arial" w:cs="Arial"/>
          <w:sz w:val="22"/>
          <w:szCs w:val="22"/>
        </w:rPr>
        <w:t xml:space="preserve"> registrants, the Career Blitz is our most popular career awareness program. The event is a three-hour opportunity for UNC graduate students and postdoctoral scholars to network with </w:t>
      </w:r>
      <w:r w:rsidR="00065965" w:rsidRPr="00E708F7">
        <w:rPr>
          <w:rFonts w:ascii="Arial" w:hAnsi="Arial" w:cs="Arial"/>
          <w:sz w:val="22"/>
          <w:szCs w:val="22"/>
        </w:rPr>
        <w:t xml:space="preserve">dozens of </w:t>
      </w:r>
      <w:r w:rsidRPr="00E708F7">
        <w:rPr>
          <w:rFonts w:ascii="Arial" w:hAnsi="Arial" w:cs="Arial"/>
          <w:sz w:val="22"/>
          <w:szCs w:val="22"/>
        </w:rPr>
        <w:t xml:space="preserve">PhD scientists from 20 different career fields. Attendees learn about a variety of career paths for scientists and </w:t>
      </w:r>
      <w:proofErr w:type="gramStart"/>
      <w:r w:rsidRPr="00E708F7">
        <w:rPr>
          <w:rFonts w:ascii="Arial" w:hAnsi="Arial" w:cs="Arial"/>
          <w:sz w:val="22"/>
          <w:szCs w:val="22"/>
        </w:rPr>
        <w:t>have the opportunity to</w:t>
      </w:r>
      <w:proofErr w:type="gramEnd"/>
      <w:r w:rsidRPr="00E708F7">
        <w:rPr>
          <w:rFonts w:ascii="Arial" w:hAnsi="Arial" w:cs="Arial"/>
          <w:sz w:val="22"/>
          <w:szCs w:val="22"/>
        </w:rPr>
        <w:t xml:space="preserve"> network with </w:t>
      </w:r>
      <w:r w:rsidR="00065965" w:rsidRPr="00E708F7">
        <w:rPr>
          <w:rFonts w:ascii="Arial" w:hAnsi="Arial" w:cs="Arial"/>
          <w:sz w:val="22"/>
          <w:szCs w:val="22"/>
        </w:rPr>
        <w:t>scientists</w:t>
      </w:r>
      <w:r w:rsidR="006E1D36" w:rsidRPr="00E708F7">
        <w:rPr>
          <w:rFonts w:ascii="Arial" w:hAnsi="Arial" w:cs="Arial"/>
          <w:sz w:val="22"/>
          <w:szCs w:val="22"/>
        </w:rPr>
        <w:t xml:space="preserve"> </w:t>
      </w:r>
      <w:r w:rsidRPr="00E708F7">
        <w:rPr>
          <w:rFonts w:ascii="Arial" w:hAnsi="Arial" w:cs="Arial"/>
          <w:sz w:val="22"/>
          <w:szCs w:val="22"/>
        </w:rPr>
        <w:t xml:space="preserve">from these career fields. </w:t>
      </w:r>
      <w:r w:rsidR="00415C06" w:rsidRPr="00E708F7">
        <w:rPr>
          <w:rFonts w:ascii="Arial" w:hAnsi="Arial" w:cs="Arial"/>
          <w:sz w:val="22"/>
          <w:szCs w:val="22"/>
        </w:rPr>
        <w:t xml:space="preserve">The Career Blitz has been a virtual event since the COVID pandemic which </w:t>
      </w:r>
      <w:r w:rsidR="00696714" w:rsidRPr="00E708F7">
        <w:rPr>
          <w:rFonts w:ascii="Arial" w:hAnsi="Arial" w:cs="Arial"/>
          <w:sz w:val="22"/>
          <w:szCs w:val="22"/>
        </w:rPr>
        <w:t xml:space="preserve">allows more trainees and more science professionals from across the US to participate. </w:t>
      </w:r>
    </w:p>
    <w:p w14:paraId="65A6D206" w14:textId="7372FEDE" w:rsidR="0025131E" w:rsidRPr="00E708F7" w:rsidRDefault="0025131E" w:rsidP="0025131E">
      <w:pPr>
        <w:pStyle w:val="ColorfulList-Accent11"/>
        <w:numPr>
          <w:ilvl w:val="0"/>
          <w:numId w:val="1"/>
        </w:numPr>
        <w:jc w:val="both"/>
        <w:rPr>
          <w:rFonts w:ascii="Arial" w:hAnsi="Arial" w:cs="Arial"/>
          <w:sz w:val="22"/>
          <w:szCs w:val="22"/>
        </w:rPr>
      </w:pPr>
      <w:r w:rsidRPr="00E708F7">
        <w:rPr>
          <w:rFonts w:ascii="Arial" w:hAnsi="Arial" w:cs="Arial"/>
          <w:i/>
          <w:sz w:val="22"/>
          <w:szCs w:val="22"/>
        </w:rPr>
        <w:t>The TIBBS Postdoc Boot Camp</w:t>
      </w:r>
      <w:r w:rsidRPr="00E708F7">
        <w:rPr>
          <w:rFonts w:ascii="Arial" w:hAnsi="Arial" w:cs="Arial"/>
          <w:sz w:val="22"/>
          <w:szCs w:val="22"/>
        </w:rPr>
        <w:t xml:space="preserve">. This </w:t>
      </w:r>
      <w:r w:rsidR="004A5A69" w:rsidRPr="00E708F7">
        <w:rPr>
          <w:rFonts w:ascii="Arial" w:hAnsi="Arial" w:cs="Arial"/>
          <w:sz w:val="22"/>
          <w:szCs w:val="22"/>
        </w:rPr>
        <w:t xml:space="preserve">series of </w:t>
      </w:r>
      <w:r w:rsidRPr="00E708F7">
        <w:rPr>
          <w:rFonts w:ascii="Arial" w:hAnsi="Arial" w:cs="Arial"/>
          <w:sz w:val="22"/>
          <w:szCs w:val="22"/>
        </w:rPr>
        <w:t>event</w:t>
      </w:r>
      <w:r w:rsidR="004A5A69" w:rsidRPr="00E708F7">
        <w:rPr>
          <w:rFonts w:ascii="Arial" w:hAnsi="Arial" w:cs="Arial"/>
          <w:sz w:val="22"/>
          <w:szCs w:val="22"/>
        </w:rPr>
        <w:t>s</w:t>
      </w:r>
      <w:r w:rsidRPr="00E708F7">
        <w:rPr>
          <w:rFonts w:ascii="Arial" w:hAnsi="Arial" w:cs="Arial"/>
          <w:sz w:val="22"/>
          <w:szCs w:val="22"/>
        </w:rPr>
        <w:t xml:space="preserve"> is designed to help senior graduate students think about their potential postdoctoral training as a </w:t>
      </w:r>
      <w:proofErr w:type="gramStart"/>
      <w:r w:rsidRPr="00E708F7">
        <w:rPr>
          <w:rFonts w:ascii="Arial" w:hAnsi="Arial" w:cs="Arial"/>
          <w:sz w:val="22"/>
          <w:szCs w:val="22"/>
        </w:rPr>
        <w:t>stepping stone</w:t>
      </w:r>
      <w:proofErr w:type="gramEnd"/>
      <w:r w:rsidRPr="00E708F7">
        <w:rPr>
          <w:rFonts w:ascii="Arial" w:hAnsi="Arial" w:cs="Arial"/>
          <w:sz w:val="22"/>
          <w:szCs w:val="22"/>
        </w:rPr>
        <w:t xml:space="preserve"> to their future career, whether that may be in academia or in another career field. The</w:t>
      </w:r>
      <w:r w:rsidRPr="00E708F7" w:rsidDel="00696714">
        <w:rPr>
          <w:rFonts w:ascii="Arial" w:hAnsi="Arial" w:cs="Arial"/>
          <w:sz w:val="22"/>
          <w:szCs w:val="22"/>
        </w:rPr>
        <w:t xml:space="preserve"> </w:t>
      </w:r>
      <w:r w:rsidR="00696714" w:rsidRPr="00E708F7">
        <w:rPr>
          <w:rFonts w:ascii="Arial" w:hAnsi="Arial" w:cs="Arial"/>
          <w:sz w:val="22"/>
          <w:szCs w:val="22"/>
        </w:rPr>
        <w:t xml:space="preserve">boot camp </w:t>
      </w:r>
      <w:r w:rsidRPr="00E708F7">
        <w:rPr>
          <w:rFonts w:ascii="Arial" w:hAnsi="Arial" w:cs="Arial"/>
          <w:sz w:val="22"/>
          <w:szCs w:val="22"/>
        </w:rPr>
        <w:t>includes 1) a keynote address by a prominent advocate for postdoctoral training, 2) workshops on writing cover letters, preparing a CV, and thinking strategically about your postdoctoral training, and 3) two panel discussions, including one with current postdoctoral scholar panelists from industry, government, teaching postdoctoral programs, and academia, and one with faculty panelists from academia and government. This event includes the interest, value, and skills assessme</w:t>
      </w:r>
      <w:r w:rsidR="00CB3989" w:rsidRPr="00E708F7">
        <w:rPr>
          <w:rFonts w:ascii="Arial" w:hAnsi="Arial" w:cs="Arial"/>
          <w:sz w:val="22"/>
          <w:szCs w:val="22"/>
        </w:rPr>
        <w:t xml:space="preserve">nts from the online </w:t>
      </w:r>
      <w:proofErr w:type="spellStart"/>
      <w:r w:rsidR="00CB3989" w:rsidRPr="00E708F7">
        <w:rPr>
          <w:rFonts w:ascii="Arial" w:hAnsi="Arial" w:cs="Arial"/>
          <w:sz w:val="22"/>
          <w:szCs w:val="22"/>
        </w:rPr>
        <w:t>myIDP</w:t>
      </w:r>
      <w:proofErr w:type="spellEnd"/>
      <w:r w:rsidR="00CB3989" w:rsidRPr="00E708F7">
        <w:rPr>
          <w:rFonts w:ascii="Arial" w:hAnsi="Arial" w:cs="Arial"/>
          <w:sz w:val="22"/>
          <w:szCs w:val="22"/>
        </w:rPr>
        <w:t xml:space="preserve"> tool </w:t>
      </w:r>
      <w:r w:rsidRPr="00E708F7">
        <w:rPr>
          <w:rFonts w:ascii="Arial" w:hAnsi="Arial" w:cs="Arial"/>
          <w:sz w:val="22"/>
          <w:szCs w:val="22"/>
        </w:rPr>
        <w:t>and can also help graduate students decide whether postdoctoral training is a suitable fit for them.</w:t>
      </w:r>
    </w:p>
    <w:p w14:paraId="4BD42B10" w14:textId="29B01E51" w:rsidR="0025131E" w:rsidRPr="00E708F7" w:rsidRDefault="0025131E" w:rsidP="0025131E">
      <w:pPr>
        <w:pStyle w:val="ColorfulList-Accent11"/>
        <w:numPr>
          <w:ilvl w:val="0"/>
          <w:numId w:val="1"/>
        </w:numPr>
        <w:jc w:val="both"/>
        <w:rPr>
          <w:rFonts w:ascii="Arial" w:hAnsi="Arial" w:cs="Arial"/>
          <w:sz w:val="22"/>
          <w:szCs w:val="22"/>
        </w:rPr>
      </w:pPr>
      <w:r w:rsidRPr="00E708F7">
        <w:rPr>
          <w:rFonts w:ascii="Arial" w:hAnsi="Arial" w:cs="Arial"/>
          <w:i/>
          <w:sz w:val="22"/>
          <w:szCs w:val="22"/>
        </w:rPr>
        <w:t xml:space="preserve">TIBBS </w:t>
      </w:r>
      <w:r w:rsidR="008261B7" w:rsidRPr="00E708F7">
        <w:rPr>
          <w:rFonts w:ascii="Arial" w:hAnsi="Arial" w:cs="Arial"/>
          <w:i/>
          <w:sz w:val="22"/>
          <w:szCs w:val="22"/>
        </w:rPr>
        <w:t>Career</w:t>
      </w:r>
      <w:r w:rsidRPr="00E708F7">
        <w:rPr>
          <w:rFonts w:ascii="Arial" w:hAnsi="Arial" w:cs="Arial"/>
          <w:i/>
          <w:sz w:val="22"/>
          <w:szCs w:val="22"/>
        </w:rPr>
        <w:t xml:space="preserve"> Workshop Series</w:t>
      </w:r>
      <w:r w:rsidRPr="00E708F7">
        <w:rPr>
          <w:rFonts w:ascii="Arial" w:hAnsi="Arial" w:cs="Arial"/>
          <w:sz w:val="22"/>
          <w:szCs w:val="22"/>
        </w:rPr>
        <w:t xml:space="preserve">. </w:t>
      </w:r>
      <w:r w:rsidR="008261B7" w:rsidRPr="00E708F7">
        <w:rPr>
          <w:rFonts w:ascii="Arial" w:hAnsi="Arial" w:cs="Arial"/>
          <w:sz w:val="22"/>
          <w:szCs w:val="22"/>
        </w:rPr>
        <w:t>These</w:t>
      </w:r>
      <w:r w:rsidRPr="00E708F7">
        <w:rPr>
          <w:rFonts w:ascii="Arial" w:hAnsi="Arial" w:cs="Arial"/>
          <w:sz w:val="22"/>
          <w:szCs w:val="22"/>
        </w:rPr>
        <w:t xml:space="preserve"> series </w:t>
      </w:r>
      <w:r w:rsidR="008261B7" w:rsidRPr="00E708F7">
        <w:rPr>
          <w:rFonts w:ascii="Arial" w:hAnsi="Arial" w:cs="Arial"/>
          <w:sz w:val="22"/>
          <w:szCs w:val="22"/>
        </w:rPr>
        <w:t>are</w:t>
      </w:r>
      <w:r w:rsidRPr="00E708F7">
        <w:rPr>
          <w:rFonts w:ascii="Arial" w:hAnsi="Arial" w:cs="Arial"/>
          <w:sz w:val="22"/>
          <w:szCs w:val="22"/>
        </w:rPr>
        <w:t xml:space="preserve"> geared toward closing the skill gap for students and postdoctoral scholars who have already chosen their desired career path or are looking for more information to determine whether a career is a suitable fit for them. </w:t>
      </w:r>
      <w:r w:rsidR="008261B7" w:rsidRPr="00E708F7">
        <w:rPr>
          <w:rFonts w:ascii="Arial" w:hAnsi="Arial" w:cs="Arial"/>
          <w:sz w:val="22"/>
          <w:szCs w:val="22"/>
        </w:rPr>
        <w:t xml:space="preserve">We generally present 2 workshop series per year and </w:t>
      </w:r>
      <w:r w:rsidR="002E1D89" w:rsidRPr="00E708F7">
        <w:rPr>
          <w:rFonts w:ascii="Arial" w:hAnsi="Arial" w:cs="Arial"/>
          <w:sz w:val="22"/>
          <w:szCs w:val="22"/>
        </w:rPr>
        <w:t>rotate</w:t>
      </w:r>
      <w:r w:rsidR="008261B7" w:rsidRPr="00E708F7">
        <w:rPr>
          <w:rFonts w:ascii="Arial" w:hAnsi="Arial" w:cs="Arial"/>
          <w:sz w:val="22"/>
          <w:szCs w:val="22"/>
        </w:rPr>
        <w:t xml:space="preserve"> among these topics</w:t>
      </w:r>
      <w:r w:rsidRPr="00E708F7">
        <w:rPr>
          <w:rFonts w:ascii="Arial" w:hAnsi="Arial" w:cs="Arial"/>
          <w:sz w:val="22"/>
          <w:szCs w:val="22"/>
        </w:rPr>
        <w:t xml:space="preserve">: 1) </w:t>
      </w:r>
      <w:r w:rsidR="008261B7" w:rsidRPr="00E708F7">
        <w:rPr>
          <w:rFonts w:ascii="Arial" w:hAnsi="Arial" w:cs="Arial"/>
          <w:sz w:val="22"/>
          <w:szCs w:val="22"/>
        </w:rPr>
        <w:t>Teaching Skills</w:t>
      </w:r>
      <w:r w:rsidR="00BD20A0" w:rsidRPr="00E708F7">
        <w:rPr>
          <w:rFonts w:ascii="Arial" w:hAnsi="Arial" w:cs="Arial"/>
          <w:sz w:val="22"/>
          <w:szCs w:val="22"/>
        </w:rPr>
        <w:t xml:space="preserve"> Series</w:t>
      </w:r>
      <w:r w:rsidRPr="00E708F7">
        <w:rPr>
          <w:rFonts w:ascii="Arial" w:hAnsi="Arial" w:cs="Arial"/>
          <w:sz w:val="22"/>
          <w:szCs w:val="22"/>
        </w:rPr>
        <w:t xml:space="preserve">, </w:t>
      </w:r>
      <w:r w:rsidR="008261B7" w:rsidRPr="00E708F7">
        <w:rPr>
          <w:rFonts w:ascii="Arial" w:hAnsi="Arial" w:cs="Arial"/>
          <w:sz w:val="22"/>
          <w:szCs w:val="22"/>
        </w:rPr>
        <w:t>2) Science Policy and Advocacy</w:t>
      </w:r>
      <w:r w:rsidR="00BD20A0" w:rsidRPr="00E708F7">
        <w:rPr>
          <w:rFonts w:ascii="Arial" w:hAnsi="Arial" w:cs="Arial"/>
          <w:sz w:val="22"/>
          <w:szCs w:val="22"/>
        </w:rPr>
        <w:t xml:space="preserve"> Series</w:t>
      </w:r>
      <w:r w:rsidR="008261B7" w:rsidRPr="00E708F7">
        <w:rPr>
          <w:rFonts w:ascii="Arial" w:hAnsi="Arial" w:cs="Arial"/>
          <w:sz w:val="22"/>
          <w:szCs w:val="22"/>
        </w:rPr>
        <w:t>, 3</w:t>
      </w:r>
      <w:r w:rsidRPr="00E708F7">
        <w:rPr>
          <w:rFonts w:ascii="Arial" w:hAnsi="Arial" w:cs="Arial"/>
          <w:sz w:val="22"/>
          <w:szCs w:val="22"/>
        </w:rPr>
        <w:t>) Industry</w:t>
      </w:r>
      <w:r w:rsidR="00BD20A0" w:rsidRPr="00E708F7">
        <w:rPr>
          <w:rFonts w:ascii="Arial" w:hAnsi="Arial" w:cs="Arial"/>
          <w:sz w:val="22"/>
          <w:szCs w:val="22"/>
        </w:rPr>
        <w:t xml:space="preserve"> Skills Series</w:t>
      </w:r>
      <w:r w:rsidR="005F2521" w:rsidRPr="00E708F7">
        <w:rPr>
          <w:rFonts w:ascii="Arial" w:hAnsi="Arial" w:cs="Arial"/>
          <w:sz w:val="22"/>
          <w:szCs w:val="22"/>
        </w:rPr>
        <w:t>, 4) Science Communications</w:t>
      </w:r>
      <w:r w:rsidR="00BD20A0" w:rsidRPr="00E708F7">
        <w:rPr>
          <w:rFonts w:ascii="Arial" w:hAnsi="Arial" w:cs="Arial"/>
          <w:sz w:val="22"/>
          <w:szCs w:val="22"/>
        </w:rPr>
        <w:t xml:space="preserve"> Series</w:t>
      </w:r>
      <w:r w:rsidR="00D82944" w:rsidRPr="00E708F7">
        <w:rPr>
          <w:rFonts w:ascii="Arial" w:hAnsi="Arial" w:cs="Arial"/>
          <w:sz w:val="22"/>
          <w:szCs w:val="22"/>
        </w:rPr>
        <w:t xml:space="preserve">, 5) </w:t>
      </w:r>
      <w:r w:rsidR="00900DD2">
        <w:rPr>
          <w:rFonts w:ascii="Arial" w:hAnsi="Arial" w:cs="Arial"/>
          <w:sz w:val="22"/>
          <w:szCs w:val="22"/>
        </w:rPr>
        <w:t xml:space="preserve">Medical and </w:t>
      </w:r>
      <w:proofErr w:type="spellStart"/>
      <w:r w:rsidR="00900DD2">
        <w:rPr>
          <w:rFonts w:ascii="Arial" w:hAnsi="Arial" w:cs="Arial"/>
          <w:sz w:val="22"/>
          <w:szCs w:val="22"/>
        </w:rPr>
        <w:t>Regulartory</w:t>
      </w:r>
      <w:proofErr w:type="spellEnd"/>
      <w:r w:rsidR="00900DD2">
        <w:rPr>
          <w:rFonts w:ascii="Arial" w:hAnsi="Arial" w:cs="Arial"/>
          <w:sz w:val="22"/>
          <w:szCs w:val="22"/>
        </w:rPr>
        <w:t xml:space="preserve"> Affairs Series</w:t>
      </w:r>
      <w:r w:rsidR="00D82944" w:rsidRPr="00E708F7">
        <w:rPr>
          <w:rFonts w:ascii="Arial" w:hAnsi="Arial" w:cs="Arial"/>
          <w:sz w:val="22"/>
          <w:szCs w:val="22"/>
        </w:rPr>
        <w:t xml:space="preserve">, and 6) Academic and </w:t>
      </w:r>
      <w:proofErr w:type="gramStart"/>
      <w:r w:rsidR="00D82944" w:rsidRPr="00E708F7">
        <w:rPr>
          <w:rFonts w:ascii="Arial" w:hAnsi="Arial" w:cs="Arial"/>
          <w:sz w:val="22"/>
          <w:szCs w:val="22"/>
        </w:rPr>
        <w:t>Research Intensive</w:t>
      </w:r>
      <w:proofErr w:type="gramEnd"/>
      <w:r w:rsidR="00D82944" w:rsidRPr="00E708F7">
        <w:rPr>
          <w:rFonts w:ascii="Arial" w:hAnsi="Arial" w:cs="Arial"/>
          <w:sz w:val="22"/>
          <w:szCs w:val="22"/>
        </w:rPr>
        <w:t xml:space="preserve"> Career </w:t>
      </w:r>
      <w:r w:rsidR="00BD20A0" w:rsidRPr="00E708F7">
        <w:rPr>
          <w:rFonts w:ascii="Arial" w:hAnsi="Arial" w:cs="Arial"/>
          <w:sz w:val="22"/>
          <w:szCs w:val="22"/>
        </w:rPr>
        <w:t>Series</w:t>
      </w:r>
      <w:r w:rsidRPr="00E708F7">
        <w:rPr>
          <w:rFonts w:ascii="Arial" w:hAnsi="Arial" w:cs="Arial"/>
          <w:sz w:val="22"/>
          <w:szCs w:val="22"/>
        </w:rPr>
        <w:t xml:space="preserve">. </w:t>
      </w:r>
      <w:r w:rsidR="008261B7" w:rsidRPr="00E708F7">
        <w:rPr>
          <w:rFonts w:ascii="Arial" w:hAnsi="Arial" w:cs="Arial"/>
          <w:sz w:val="22"/>
          <w:szCs w:val="22"/>
        </w:rPr>
        <w:t>Each series consists</w:t>
      </w:r>
      <w:r w:rsidRPr="00E708F7">
        <w:rPr>
          <w:rFonts w:ascii="Arial" w:hAnsi="Arial" w:cs="Arial"/>
          <w:sz w:val="22"/>
          <w:szCs w:val="22"/>
        </w:rPr>
        <w:t xml:space="preserve"> of </w:t>
      </w:r>
      <w:r w:rsidR="002E1D89" w:rsidRPr="00E708F7">
        <w:rPr>
          <w:rFonts w:ascii="Arial" w:hAnsi="Arial" w:cs="Arial"/>
          <w:sz w:val="22"/>
          <w:szCs w:val="22"/>
        </w:rPr>
        <w:t>6-8</w:t>
      </w:r>
      <w:r w:rsidR="008261B7" w:rsidRPr="00E708F7">
        <w:rPr>
          <w:rFonts w:ascii="Arial" w:hAnsi="Arial" w:cs="Arial"/>
          <w:sz w:val="22"/>
          <w:szCs w:val="22"/>
        </w:rPr>
        <w:t xml:space="preserve"> </w:t>
      </w:r>
      <w:r w:rsidRPr="00E708F7">
        <w:rPr>
          <w:rFonts w:ascii="Arial" w:hAnsi="Arial" w:cs="Arial"/>
          <w:sz w:val="22"/>
          <w:szCs w:val="22"/>
        </w:rPr>
        <w:t>workshops</w:t>
      </w:r>
      <w:r w:rsidR="00BD20A0" w:rsidRPr="00E708F7">
        <w:rPr>
          <w:rFonts w:ascii="Arial" w:hAnsi="Arial" w:cs="Arial"/>
          <w:sz w:val="22"/>
          <w:szCs w:val="22"/>
        </w:rPr>
        <w:t xml:space="preserve"> that are 1-3 hours in length, </w:t>
      </w:r>
      <w:r w:rsidR="00D82944" w:rsidRPr="00E708F7">
        <w:rPr>
          <w:rFonts w:ascii="Arial" w:hAnsi="Arial" w:cs="Arial"/>
          <w:sz w:val="22"/>
          <w:szCs w:val="22"/>
        </w:rPr>
        <w:t xml:space="preserve">typically </w:t>
      </w:r>
      <w:r w:rsidR="002E1D89" w:rsidRPr="00E708F7">
        <w:rPr>
          <w:rFonts w:ascii="Arial" w:hAnsi="Arial" w:cs="Arial"/>
          <w:sz w:val="22"/>
          <w:szCs w:val="22"/>
        </w:rPr>
        <w:t>1-</w:t>
      </w:r>
      <w:r w:rsidR="008261B7" w:rsidRPr="00E708F7">
        <w:rPr>
          <w:rFonts w:ascii="Arial" w:hAnsi="Arial" w:cs="Arial"/>
          <w:sz w:val="22"/>
          <w:szCs w:val="22"/>
        </w:rPr>
        <w:t>2 per week</w:t>
      </w:r>
      <w:r w:rsidR="00BD20A0" w:rsidRPr="00E708F7">
        <w:rPr>
          <w:rFonts w:ascii="Arial" w:hAnsi="Arial" w:cs="Arial"/>
          <w:sz w:val="22"/>
          <w:szCs w:val="22"/>
        </w:rPr>
        <w:t xml:space="preserve"> over a </w:t>
      </w:r>
      <w:proofErr w:type="gramStart"/>
      <w:r w:rsidR="00BD20A0" w:rsidRPr="00E708F7">
        <w:rPr>
          <w:rFonts w:ascii="Arial" w:hAnsi="Arial" w:cs="Arial"/>
          <w:sz w:val="22"/>
          <w:szCs w:val="22"/>
        </w:rPr>
        <w:t>6-8 week</w:t>
      </w:r>
      <w:proofErr w:type="gramEnd"/>
      <w:r w:rsidR="00BD20A0" w:rsidRPr="00E708F7">
        <w:rPr>
          <w:rFonts w:ascii="Arial" w:hAnsi="Arial" w:cs="Arial"/>
          <w:sz w:val="22"/>
          <w:szCs w:val="22"/>
        </w:rPr>
        <w:t xml:space="preserve"> period, or 1-2 per month spread across a semester</w:t>
      </w:r>
      <w:r w:rsidRPr="00E708F7">
        <w:rPr>
          <w:rFonts w:ascii="Arial" w:hAnsi="Arial" w:cs="Arial"/>
          <w:sz w:val="22"/>
          <w:szCs w:val="22"/>
        </w:rPr>
        <w:t xml:space="preserve">. </w:t>
      </w:r>
      <w:r w:rsidR="008261B7" w:rsidRPr="00E708F7">
        <w:rPr>
          <w:rFonts w:ascii="Arial" w:hAnsi="Arial" w:cs="Arial"/>
          <w:sz w:val="22"/>
          <w:szCs w:val="22"/>
        </w:rPr>
        <w:t>We</w:t>
      </w:r>
      <w:r w:rsidRPr="00E708F7">
        <w:rPr>
          <w:rFonts w:ascii="Arial" w:hAnsi="Arial" w:cs="Arial"/>
          <w:sz w:val="22"/>
          <w:szCs w:val="22"/>
        </w:rPr>
        <w:t xml:space="preserve"> draw </w:t>
      </w:r>
      <w:r w:rsidR="002E1D89" w:rsidRPr="00E708F7">
        <w:rPr>
          <w:rFonts w:ascii="Arial" w:hAnsi="Arial" w:cs="Arial"/>
          <w:sz w:val="22"/>
          <w:szCs w:val="22"/>
        </w:rPr>
        <w:t xml:space="preserve">on </w:t>
      </w:r>
      <w:r w:rsidRPr="00E708F7">
        <w:rPr>
          <w:rFonts w:ascii="Arial" w:hAnsi="Arial" w:cs="Arial"/>
          <w:sz w:val="22"/>
          <w:szCs w:val="22"/>
        </w:rPr>
        <w:t xml:space="preserve">local </w:t>
      </w:r>
      <w:r w:rsidR="002E1D89" w:rsidRPr="00E708F7">
        <w:rPr>
          <w:rFonts w:ascii="Arial" w:hAnsi="Arial" w:cs="Arial"/>
          <w:sz w:val="22"/>
          <w:szCs w:val="22"/>
        </w:rPr>
        <w:t xml:space="preserve">and regional </w:t>
      </w:r>
      <w:r w:rsidRPr="00E708F7">
        <w:rPr>
          <w:rFonts w:ascii="Arial" w:hAnsi="Arial" w:cs="Arial"/>
          <w:sz w:val="22"/>
          <w:szCs w:val="22"/>
        </w:rPr>
        <w:t>experts</w:t>
      </w:r>
      <w:r w:rsidR="002E1D89" w:rsidRPr="00E708F7">
        <w:rPr>
          <w:rFonts w:ascii="Arial" w:hAnsi="Arial" w:cs="Arial"/>
          <w:sz w:val="22"/>
          <w:szCs w:val="22"/>
        </w:rPr>
        <w:t>, successful career leaders, and other recognized speakers for these events.</w:t>
      </w:r>
      <w:r w:rsidR="004E209B">
        <w:rPr>
          <w:rFonts w:ascii="Arial" w:hAnsi="Arial" w:cs="Arial"/>
          <w:sz w:val="22"/>
          <w:szCs w:val="22"/>
        </w:rPr>
        <w:t xml:space="preserve"> We also offer</w:t>
      </w:r>
      <w:r w:rsidR="00552981">
        <w:rPr>
          <w:rFonts w:ascii="Arial" w:hAnsi="Arial" w:cs="Arial"/>
          <w:sz w:val="22"/>
          <w:szCs w:val="22"/>
        </w:rPr>
        <w:t xml:space="preserve"> an annual </w:t>
      </w:r>
      <w:r w:rsidR="00B1755F">
        <w:rPr>
          <w:rFonts w:ascii="Arial" w:hAnsi="Arial" w:cs="Arial"/>
          <w:sz w:val="22"/>
          <w:szCs w:val="22"/>
        </w:rPr>
        <w:t xml:space="preserve">Consulting Bootcamp in collaboration with the Accelerate to Industry (A2i) program, </w:t>
      </w:r>
      <w:r w:rsidR="001B1FA9">
        <w:rPr>
          <w:rFonts w:ascii="Arial" w:hAnsi="Arial" w:cs="Arial"/>
          <w:sz w:val="22"/>
          <w:szCs w:val="22"/>
        </w:rPr>
        <w:t>career cohort</w:t>
      </w:r>
      <w:r w:rsidR="00E47E48">
        <w:rPr>
          <w:rFonts w:ascii="Arial" w:hAnsi="Arial" w:cs="Arial"/>
          <w:sz w:val="22"/>
          <w:szCs w:val="22"/>
        </w:rPr>
        <w:t>s,</w:t>
      </w:r>
      <w:r w:rsidR="001B1FA9">
        <w:rPr>
          <w:rFonts w:ascii="Arial" w:hAnsi="Arial" w:cs="Arial"/>
          <w:sz w:val="22"/>
          <w:szCs w:val="22"/>
        </w:rPr>
        <w:t xml:space="preserve"> </w:t>
      </w:r>
      <w:r w:rsidR="00B1755F">
        <w:rPr>
          <w:rFonts w:ascii="Arial" w:hAnsi="Arial" w:cs="Arial"/>
          <w:sz w:val="22"/>
          <w:szCs w:val="22"/>
        </w:rPr>
        <w:t>and local consulting firm</w:t>
      </w:r>
      <w:r w:rsidR="001B1FA9">
        <w:rPr>
          <w:rFonts w:ascii="Arial" w:hAnsi="Arial" w:cs="Arial"/>
          <w:sz w:val="22"/>
          <w:szCs w:val="22"/>
        </w:rPr>
        <w:t xml:space="preserve"> </w:t>
      </w:r>
      <w:r w:rsidR="00E47E48">
        <w:rPr>
          <w:rFonts w:ascii="Arial" w:hAnsi="Arial" w:cs="Arial"/>
          <w:sz w:val="22"/>
          <w:szCs w:val="22"/>
        </w:rPr>
        <w:t>partners</w:t>
      </w:r>
      <w:r w:rsidR="00B1755F">
        <w:rPr>
          <w:rFonts w:ascii="Arial" w:hAnsi="Arial" w:cs="Arial"/>
          <w:sz w:val="22"/>
          <w:szCs w:val="22"/>
        </w:rPr>
        <w:t>.</w:t>
      </w:r>
    </w:p>
    <w:p w14:paraId="2584DA75" w14:textId="77777777" w:rsidR="00FC3CA1" w:rsidRPr="00E708F7" w:rsidRDefault="00FC3CA1" w:rsidP="0025131E">
      <w:pPr>
        <w:pStyle w:val="ColorfulList-Accent11"/>
        <w:numPr>
          <w:ilvl w:val="0"/>
          <w:numId w:val="1"/>
        </w:numPr>
        <w:jc w:val="both"/>
        <w:rPr>
          <w:rFonts w:ascii="Arial" w:hAnsi="Arial" w:cs="Arial"/>
          <w:sz w:val="22"/>
          <w:szCs w:val="22"/>
        </w:rPr>
      </w:pPr>
      <w:r w:rsidRPr="00E708F7">
        <w:rPr>
          <w:rFonts w:ascii="Arial" w:hAnsi="Arial" w:cs="Arial"/>
          <w:i/>
          <w:sz w:val="22"/>
          <w:szCs w:val="22"/>
        </w:rPr>
        <w:t>Grant Writing Workshops</w:t>
      </w:r>
      <w:r w:rsidR="00CB264A" w:rsidRPr="00E708F7">
        <w:rPr>
          <w:rFonts w:ascii="Arial" w:hAnsi="Arial" w:cs="Arial"/>
          <w:sz w:val="22"/>
          <w:szCs w:val="22"/>
        </w:rPr>
        <w:t>.</w:t>
      </w:r>
      <w:r w:rsidRPr="00E708F7">
        <w:rPr>
          <w:rFonts w:ascii="Arial" w:hAnsi="Arial" w:cs="Arial"/>
          <w:sz w:val="22"/>
          <w:szCs w:val="22"/>
        </w:rPr>
        <w:t xml:space="preserve"> TIBBS presents workshops throughout the year tailored specifically to the NIH F31 and NSF GRFP</w:t>
      </w:r>
      <w:r w:rsidR="00CF09BF" w:rsidRPr="00E708F7">
        <w:rPr>
          <w:rFonts w:ascii="Arial" w:hAnsi="Arial" w:cs="Arial"/>
          <w:sz w:val="22"/>
          <w:szCs w:val="22"/>
        </w:rPr>
        <w:t xml:space="preserve"> and strategically scheduled to coincide with application deadlines.</w:t>
      </w:r>
      <w:r w:rsidR="00D82944" w:rsidRPr="00E708F7">
        <w:rPr>
          <w:rFonts w:ascii="Arial" w:hAnsi="Arial" w:cs="Arial"/>
          <w:sz w:val="22"/>
          <w:szCs w:val="22"/>
        </w:rPr>
        <w:t xml:space="preserve"> </w:t>
      </w:r>
    </w:p>
    <w:p w14:paraId="3C2CCE35" w14:textId="752E74D9" w:rsidR="007076F4" w:rsidRPr="008421C3" w:rsidRDefault="0037184F">
      <w:pPr>
        <w:pStyle w:val="ColorfulList-Accent11"/>
        <w:numPr>
          <w:ilvl w:val="0"/>
          <w:numId w:val="1"/>
        </w:numPr>
        <w:ind w:left="709"/>
        <w:jc w:val="both"/>
        <w:rPr>
          <w:rFonts w:ascii="Arial" w:hAnsi="Arial" w:cs="Arial"/>
          <w:sz w:val="22"/>
          <w:szCs w:val="22"/>
        </w:rPr>
      </w:pPr>
      <w:r w:rsidRPr="008421C3">
        <w:rPr>
          <w:rFonts w:ascii="Arial" w:hAnsi="Arial" w:cs="Arial"/>
          <w:i/>
          <w:sz w:val="22"/>
          <w:szCs w:val="22"/>
        </w:rPr>
        <w:t>Science Outreach</w:t>
      </w:r>
      <w:r w:rsidR="00E071B1" w:rsidRPr="008421C3">
        <w:rPr>
          <w:rFonts w:ascii="Arial" w:hAnsi="Arial" w:cs="Arial"/>
          <w:i/>
          <w:sz w:val="22"/>
          <w:szCs w:val="22"/>
        </w:rPr>
        <w:t xml:space="preserve"> and NC DNA Day</w:t>
      </w:r>
      <w:r w:rsidR="00FF04DA" w:rsidRPr="008421C3">
        <w:rPr>
          <w:rFonts w:ascii="Arial" w:hAnsi="Arial" w:cs="Arial"/>
          <w:i/>
          <w:sz w:val="22"/>
          <w:szCs w:val="22"/>
        </w:rPr>
        <w:t xml:space="preserve">. </w:t>
      </w:r>
      <w:r w:rsidR="00684AFD" w:rsidRPr="008421C3">
        <w:rPr>
          <w:rFonts w:ascii="Arial" w:hAnsi="Arial" w:cs="Arial"/>
          <w:sz w:val="22"/>
          <w:szCs w:val="22"/>
        </w:rPr>
        <w:t xml:space="preserve">TIBBS </w:t>
      </w:r>
      <w:r w:rsidR="002F6315" w:rsidRPr="008421C3">
        <w:rPr>
          <w:rFonts w:ascii="Arial" w:hAnsi="Arial" w:cs="Arial"/>
          <w:sz w:val="22"/>
          <w:szCs w:val="22"/>
        </w:rPr>
        <w:t xml:space="preserve">also </w:t>
      </w:r>
      <w:r w:rsidR="00224D65" w:rsidRPr="008421C3">
        <w:rPr>
          <w:rFonts w:ascii="Arial" w:hAnsi="Arial" w:cs="Arial"/>
          <w:sz w:val="22"/>
          <w:szCs w:val="22"/>
        </w:rPr>
        <w:t xml:space="preserve">provides teaching and science outreach opportunities to interested </w:t>
      </w:r>
      <w:r w:rsidR="00947F4E" w:rsidRPr="008421C3">
        <w:rPr>
          <w:rFonts w:ascii="Arial" w:hAnsi="Arial" w:cs="Arial"/>
          <w:sz w:val="22"/>
          <w:szCs w:val="22"/>
        </w:rPr>
        <w:t>trainees</w:t>
      </w:r>
      <w:r w:rsidR="00E35208" w:rsidRPr="008421C3">
        <w:rPr>
          <w:rFonts w:ascii="Arial" w:hAnsi="Arial" w:cs="Arial"/>
          <w:sz w:val="22"/>
          <w:szCs w:val="22"/>
        </w:rPr>
        <w:t xml:space="preserve">.  This is done primarily through </w:t>
      </w:r>
      <w:r w:rsidR="000914F6" w:rsidRPr="008421C3">
        <w:rPr>
          <w:rFonts w:ascii="Arial" w:hAnsi="Arial" w:cs="Arial"/>
          <w:sz w:val="22"/>
          <w:szCs w:val="22"/>
        </w:rPr>
        <w:t>NC DNA Day</w:t>
      </w:r>
      <w:r w:rsidR="00F7217E" w:rsidRPr="008421C3">
        <w:rPr>
          <w:rFonts w:ascii="Arial" w:hAnsi="Arial" w:cs="Arial"/>
          <w:sz w:val="22"/>
          <w:szCs w:val="22"/>
        </w:rPr>
        <w:t xml:space="preserve">, which is an annual event that matches trainees with </w:t>
      </w:r>
      <w:r w:rsidR="00652E78" w:rsidRPr="008421C3">
        <w:rPr>
          <w:rFonts w:ascii="Arial" w:hAnsi="Arial" w:cs="Arial"/>
          <w:sz w:val="22"/>
          <w:szCs w:val="22"/>
        </w:rPr>
        <w:t>a NC high school science teacher</w:t>
      </w:r>
      <w:r w:rsidR="00F04383" w:rsidRPr="008421C3">
        <w:rPr>
          <w:rFonts w:ascii="Arial" w:hAnsi="Arial" w:cs="Arial"/>
          <w:sz w:val="22"/>
          <w:szCs w:val="22"/>
        </w:rPr>
        <w:t>. Trainees</w:t>
      </w:r>
      <w:r w:rsidR="00652E78" w:rsidRPr="008421C3">
        <w:rPr>
          <w:rFonts w:ascii="Arial" w:hAnsi="Arial" w:cs="Arial"/>
          <w:sz w:val="22"/>
          <w:szCs w:val="22"/>
        </w:rPr>
        <w:t xml:space="preserve"> share their experiences and passion for science with that teacher’s classroom</w:t>
      </w:r>
      <w:r w:rsidR="008349EF" w:rsidRPr="008421C3">
        <w:rPr>
          <w:rFonts w:ascii="Arial" w:hAnsi="Arial" w:cs="Arial"/>
          <w:sz w:val="22"/>
          <w:szCs w:val="22"/>
        </w:rPr>
        <w:t xml:space="preserve"> and the </w:t>
      </w:r>
      <w:r w:rsidR="00652E78" w:rsidRPr="008421C3">
        <w:rPr>
          <w:rFonts w:ascii="Arial" w:hAnsi="Arial" w:cs="Arial"/>
          <w:sz w:val="22"/>
          <w:szCs w:val="22"/>
        </w:rPr>
        <w:t xml:space="preserve">high school students acquire knowledge about scientific </w:t>
      </w:r>
      <w:r w:rsidR="004C0332" w:rsidRPr="008421C3">
        <w:rPr>
          <w:rFonts w:ascii="Arial" w:hAnsi="Arial" w:cs="Arial"/>
          <w:sz w:val="22"/>
          <w:szCs w:val="22"/>
        </w:rPr>
        <w:t xml:space="preserve">careers and </w:t>
      </w:r>
      <w:r w:rsidR="00652E78" w:rsidRPr="008421C3">
        <w:rPr>
          <w:rFonts w:ascii="Arial" w:hAnsi="Arial" w:cs="Arial"/>
          <w:sz w:val="22"/>
          <w:szCs w:val="22"/>
        </w:rPr>
        <w:t xml:space="preserve">issues important </w:t>
      </w:r>
      <w:r w:rsidR="008349EF" w:rsidRPr="008421C3">
        <w:rPr>
          <w:rFonts w:ascii="Arial" w:hAnsi="Arial" w:cs="Arial"/>
          <w:sz w:val="22"/>
          <w:szCs w:val="22"/>
        </w:rPr>
        <w:t>to society</w:t>
      </w:r>
      <w:r w:rsidR="004C0332" w:rsidRPr="008421C3">
        <w:rPr>
          <w:rFonts w:ascii="Arial" w:hAnsi="Arial" w:cs="Arial"/>
          <w:sz w:val="22"/>
          <w:szCs w:val="22"/>
        </w:rPr>
        <w:t xml:space="preserve">. </w:t>
      </w:r>
      <w:r w:rsidR="007076F4" w:rsidRPr="008421C3">
        <w:rPr>
          <w:rFonts w:ascii="Arial" w:hAnsi="Arial" w:cs="Arial"/>
          <w:sz w:val="22"/>
          <w:szCs w:val="22"/>
        </w:rPr>
        <w:t>Since 2007</w:t>
      </w:r>
      <w:r w:rsidR="00DE391D" w:rsidRPr="008421C3">
        <w:rPr>
          <w:rFonts w:ascii="Arial" w:hAnsi="Arial" w:cs="Arial"/>
          <w:sz w:val="22"/>
          <w:szCs w:val="22"/>
        </w:rPr>
        <w:t>,</w:t>
      </w:r>
      <w:r w:rsidR="001026E5" w:rsidRPr="008421C3">
        <w:rPr>
          <w:rFonts w:ascii="Arial" w:hAnsi="Arial" w:cs="Arial"/>
          <w:sz w:val="22"/>
          <w:szCs w:val="22"/>
        </w:rPr>
        <w:t xml:space="preserve"> </w:t>
      </w:r>
      <w:r w:rsidR="00DE391D" w:rsidRPr="008421C3">
        <w:rPr>
          <w:rFonts w:ascii="Arial" w:hAnsi="Arial" w:cs="Arial"/>
          <w:sz w:val="22"/>
          <w:szCs w:val="22"/>
        </w:rPr>
        <w:t xml:space="preserve">1200+ </w:t>
      </w:r>
      <w:r w:rsidR="001026E5" w:rsidRPr="008421C3">
        <w:rPr>
          <w:rFonts w:ascii="Arial" w:hAnsi="Arial" w:cs="Arial"/>
          <w:sz w:val="22"/>
          <w:szCs w:val="22"/>
        </w:rPr>
        <w:t xml:space="preserve">volunteers with NC DNA Day have </w:t>
      </w:r>
      <w:r w:rsidR="00C720F9" w:rsidRPr="008421C3">
        <w:rPr>
          <w:rFonts w:ascii="Arial" w:hAnsi="Arial" w:cs="Arial"/>
          <w:sz w:val="22"/>
          <w:szCs w:val="22"/>
        </w:rPr>
        <w:t xml:space="preserve">visited more than 500 unique high schools, </w:t>
      </w:r>
      <w:r w:rsidR="00E0703E" w:rsidRPr="008421C3">
        <w:rPr>
          <w:rFonts w:ascii="Arial" w:hAnsi="Arial" w:cs="Arial"/>
          <w:sz w:val="22"/>
          <w:szCs w:val="22"/>
        </w:rPr>
        <w:t xml:space="preserve">4200 classrooms, and </w:t>
      </w:r>
      <w:r w:rsidR="004318E8" w:rsidRPr="008421C3">
        <w:rPr>
          <w:rFonts w:ascii="Arial" w:hAnsi="Arial" w:cs="Arial"/>
          <w:sz w:val="22"/>
          <w:szCs w:val="22"/>
        </w:rPr>
        <w:t>talked to over 100,000</w:t>
      </w:r>
      <w:r w:rsidR="00F84655" w:rsidRPr="008421C3">
        <w:rPr>
          <w:rFonts w:ascii="Arial" w:hAnsi="Arial" w:cs="Arial"/>
          <w:sz w:val="22"/>
          <w:szCs w:val="22"/>
        </w:rPr>
        <w:t xml:space="preserve"> students</w:t>
      </w:r>
      <w:r w:rsidR="008421C3" w:rsidRPr="008421C3">
        <w:rPr>
          <w:rFonts w:ascii="Arial" w:hAnsi="Arial" w:cs="Arial"/>
          <w:sz w:val="22"/>
          <w:szCs w:val="22"/>
        </w:rPr>
        <w:t>!</w:t>
      </w:r>
    </w:p>
    <w:p w14:paraId="74BD8594" w14:textId="25B5E76B" w:rsidR="005F2521" w:rsidRPr="00E708F7" w:rsidRDefault="00BC0070" w:rsidP="005F2521">
      <w:pPr>
        <w:pStyle w:val="ColorfulList-Accent11"/>
        <w:numPr>
          <w:ilvl w:val="0"/>
          <w:numId w:val="1"/>
        </w:numPr>
        <w:jc w:val="both"/>
        <w:rPr>
          <w:rFonts w:ascii="Arial" w:hAnsi="Arial" w:cs="Arial"/>
          <w:sz w:val="22"/>
          <w:szCs w:val="22"/>
        </w:rPr>
      </w:pPr>
      <w:r w:rsidRPr="00E708F7">
        <w:rPr>
          <w:rFonts w:ascii="Arial" w:hAnsi="Arial" w:cs="Arial"/>
          <w:i/>
          <w:sz w:val="22"/>
          <w:szCs w:val="22"/>
        </w:rPr>
        <w:t xml:space="preserve">Career Cohorts. </w:t>
      </w:r>
      <w:r w:rsidRPr="00E708F7">
        <w:rPr>
          <w:rFonts w:ascii="Arial" w:hAnsi="Arial" w:cs="Arial"/>
          <w:sz w:val="22"/>
          <w:szCs w:val="22"/>
        </w:rPr>
        <w:t>TIBBS helps graduate students and postdoctoral trainees organize into peer led groups with a common career focus.  Career cohorts receive funding from TIBBS and plan many</w:t>
      </w:r>
      <w:r w:rsidR="005F2521" w:rsidRPr="00E708F7">
        <w:rPr>
          <w:rFonts w:ascii="Arial" w:hAnsi="Arial" w:cs="Arial"/>
          <w:sz w:val="22"/>
          <w:szCs w:val="22"/>
        </w:rPr>
        <w:t xml:space="preserve"> of their own activities.  Our </w:t>
      </w:r>
      <w:r w:rsidR="00BB7C7C" w:rsidRPr="00E708F7">
        <w:rPr>
          <w:rFonts w:ascii="Arial" w:hAnsi="Arial" w:cs="Arial"/>
          <w:sz w:val="22"/>
          <w:szCs w:val="22"/>
        </w:rPr>
        <w:t>6</w:t>
      </w:r>
      <w:r w:rsidRPr="00E708F7">
        <w:rPr>
          <w:rFonts w:ascii="Arial" w:hAnsi="Arial" w:cs="Arial"/>
          <w:sz w:val="22"/>
          <w:szCs w:val="22"/>
        </w:rPr>
        <w:t xml:space="preserve"> career cohorts </w:t>
      </w:r>
      <w:r w:rsidR="005C3392" w:rsidRPr="00E708F7">
        <w:rPr>
          <w:rFonts w:ascii="Arial" w:hAnsi="Arial" w:cs="Arial"/>
          <w:sz w:val="22"/>
          <w:szCs w:val="22"/>
        </w:rPr>
        <w:t>consist of:</w:t>
      </w:r>
      <w:r w:rsidRPr="00E708F7">
        <w:rPr>
          <w:rFonts w:ascii="Arial" w:hAnsi="Arial" w:cs="Arial"/>
          <w:sz w:val="22"/>
          <w:szCs w:val="22"/>
        </w:rPr>
        <w:t xml:space="preserve"> the </w:t>
      </w:r>
      <w:r w:rsidR="00BB7C7C" w:rsidRPr="00E708F7">
        <w:rPr>
          <w:rFonts w:ascii="Arial" w:hAnsi="Arial" w:cs="Arial"/>
          <w:sz w:val="22"/>
          <w:szCs w:val="22"/>
        </w:rPr>
        <w:t xml:space="preserve">Graduate Business </w:t>
      </w:r>
      <w:r w:rsidR="00222E0C">
        <w:rPr>
          <w:rFonts w:ascii="Arial" w:hAnsi="Arial" w:cs="Arial"/>
          <w:sz w:val="22"/>
          <w:szCs w:val="22"/>
        </w:rPr>
        <w:t>Careers</w:t>
      </w:r>
      <w:r w:rsidR="00BB7C7C" w:rsidRPr="00E708F7">
        <w:rPr>
          <w:rFonts w:ascii="Arial" w:hAnsi="Arial" w:cs="Arial"/>
          <w:sz w:val="22"/>
          <w:szCs w:val="22"/>
        </w:rPr>
        <w:t xml:space="preserve"> Club</w:t>
      </w:r>
      <w:r w:rsidR="005C3392" w:rsidRPr="00E708F7">
        <w:rPr>
          <w:rFonts w:ascii="Arial" w:hAnsi="Arial" w:cs="Arial"/>
          <w:sz w:val="22"/>
          <w:szCs w:val="22"/>
        </w:rPr>
        <w:t>;</w:t>
      </w:r>
      <w:r w:rsidRPr="00E708F7">
        <w:rPr>
          <w:rFonts w:ascii="Arial" w:hAnsi="Arial" w:cs="Arial"/>
          <w:sz w:val="22"/>
          <w:szCs w:val="22"/>
        </w:rPr>
        <w:t xml:space="preserve"> </w:t>
      </w:r>
      <w:proofErr w:type="spellStart"/>
      <w:r w:rsidR="00332315" w:rsidRPr="00E708F7">
        <w:rPr>
          <w:rFonts w:ascii="Arial" w:hAnsi="Arial" w:cs="Arial"/>
          <w:sz w:val="22"/>
          <w:szCs w:val="22"/>
        </w:rPr>
        <w:t>MedRac</w:t>
      </w:r>
      <w:r w:rsidR="005C3392" w:rsidRPr="00E708F7">
        <w:rPr>
          <w:rFonts w:ascii="Arial" w:hAnsi="Arial" w:cs="Arial"/>
          <w:sz w:val="22"/>
          <w:szCs w:val="22"/>
        </w:rPr>
        <w:t>@UNC</w:t>
      </w:r>
      <w:proofErr w:type="spellEnd"/>
      <w:r w:rsidR="005C3392" w:rsidRPr="00E708F7">
        <w:rPr>
          <w:rFonts w:ascii="Arial" w:hAnsi="Arial" w:cs="Arial"/>
          <w:sz w:val="22"/>
          <w:szCs w:val="22"/>
        </w:rPr>
        <w:t xml:space="preserve"> (</w:t>
      </w:r>
      <w:r w:rsidR="00222E0C">
        <w:rPr>
          <w:rFonts w:ascii="Arial" w:hAnsi="Arial" w:cs="Arial"/>
          <w:sz w:val="22"/>
          <w:szCs w:val="22"/>
        </w:rPr>
        <w:t>m</w:t>
      </w:r>
      <w:r w:rsidR="005C3392" w:rsidRPr="00E708F7">
        <w:rPr>
          <w:rFonts w:ascii="Arial" w:hAnsi="Arial" w:cs="Arial"/>
          <w:sz w:val="22"/>
          <w:szCs w:val="22"/>
        </w:rPr>
        <w:t xml:space="preserve">edical </w:t>
      </w:r>
      <w:r w:rsidR="007D1583" w:rsidRPr="00E708F7">
        <w:rPr>
          <w:rFonts w:ascii="Arial" w:hAnsi="Arial" w:cs="Arial"/>
          <w:sz w:val="22"/>
          <w:szCs w:val="22"/>
        </w:rPr>
        <w:t>and regulatory affairs</w:t>
      </w:r>
      <w:r w:rsidR="005C3392" w:rsidRPr="00E708F7">
        <w:rPr>
          <w:rFonts w:ascii="Arial" w:hAnsi="Arial" w:cs="Arial"/>
          <w:sz w:val="22"/>
          <w:szCs w:val="22"/>
        </w:rPr>
        <w:t xml:space="preserve">); </w:t>
      </w:r>
      <w:r w:rsidRPr="00E708F7">
        <w:rPr>
          <w:rFonts w:ascii="Arial" w:hAnsi="Arial" w:cs="Arial"/>
          <w:sz w:val="22"/>
          <w:szCs w:val="22"/>
        </w:rPr>
        <w:t>the Science Policy and Advocacy Group</w:t>
      </w:r>
      <w:r w:rsidR="005C3392" w:rsidRPr="00E708F7">
        <w:rPr>
          <w:rFonts w:ascii="Arial" w:hAnsi="Arial" w:cs="Arial"/>
          <w:sz w:val="22"/>
          <w:szCs w:val="22"/>
        </w:rPr>
        <w:t>;</w:t>
      </w:r>
      <w:r w:rsidRPr="00E708F7">
        <w:rPr>
          <w:rFonts w:ascii="Arial" w:hAnsi="Arial" w:cs="Arial"/>
          <w:sz w:val="22"/>
          <w:szCs w:val="22"/>
        </w:rPr>
        <w:t xml:space="preserve"> Science Writers and Communicators</w:t>
      </w:r>
      <w:r w:rsidR="005C3392" w:rsidRPr="00E708F7">
        <w:rPr>
          <w:rFonts w:ascii="Arial" w:hAnsi="Arial" w:cs="Arial"/>
          <w:sz w:val="22"/>
          <w:szCs w:val="22"/>
        </w:rPr>
        <w:t xml:space="preserve">; </w:t>
      </w:r>
      <w:r w:rsidRPr="00E708F7">
        <w:rPr>
          <w:rFonts w:ascii="Arial" w:hAnsi="Arial" w:cs="Arial"/>
          <w:sz w:val="22"/>
          <w:szCs w:val="22"/>
        </w:rPr>
        <w:t>Future Science Educators</w:t>
      </w:r>
      <w:r w:rsidR="005C3392" w:rsidRPr="00E708F7">
        <w:rPr>
          <w:rFonts w:ascii="Arial" w:hAnsi="Arial" w:cs="Arial"/>
          <w:sz w:val="22"/>
          <w:szCs w:val="22"/>
        </w:rPr>
        <w:t>;</w:t>
      </w:r>
      <w:r w:rsidR="005F2521" w:rsidRPr="00E708F7">
        <w:rPr>
          <w:rFonts w:ascii="Arial" w:hAnsi="Arial" w:cs="Arial"/>
          <w:sz w:val="22"/>
          <w:szCs w:val="22"/>
        </w:rPr>
        <w:t xml:space="preserve"> and Academic and </w:t>
      </w:r>
      <w:proofErr w:type="gramStart"/>
      <w:r w:rsidR="005F2521" w:rsidRPr="00E708F7">
        <w:rPr>
          <w:rFonts w:ascii="Arial" w:hAnsi="Arial" w:cs="Arial"/>
          <w:sz w:val="22"/>
          <w:szCs w:val="22"/>
        </w:rPr>
        <w:t>Research Intensive</w:t>
      </w:r>
      <w:proofErr w:type="gramEnd"/>
      <w:r w:rsidR="005F2521" w:rsidRPr="00E708F7">
        <w:rPr>
          <w:rFonts w:ascii="Arial" w:hAnsi="Arial" w:cs="Arial"/>
          <w:sz w:val="22"/>
          <w:szCs w:val="22"/>
        </w:rPr>
        <w:t xml:space="preserve"> Career </w:t>
      </w:r>
      <w:r w:rsidR="005C3392" w:rsidRPr="00E708F7">
        <w:rPr>
          <w:rFonts w:ascii="Arial" w:hAnsi="Arial" w:cs="Arial"/>
          <w:sz w:val="22"/>
          <w:szCs w:val="22"/>
        </w:rPr>
        <w:t>Association</w:t>
      </w:r>
      <w:r w:rsidRPr="00E708F7">
        <w:rPr>
          <w:rFonts w:ascii="Arial" w:hAnsi="Arial" w:cs="Arial"/>
          <w:sz w:val="22"/>
          <w:szCs w:val="22"/>
        </w:rPr>
        <w:t>.  Group size ranges from 30 to over 80 members. There are</w:t>
      </w:r>
      <w:r w:rsidR="005F2521" w:rsidRPr="00E708F7">
        <w:rPr>
          <w:rFonts w:ascii="Arial" w:hAnsi="Arial" w:cs="Arial"/>
          <w:sz w:val="22"/>
          <w:szCs w:val="22"/>
        </w:rPr>
        <w:t xml:space="preserve"> no constraints on the number or</w:t>
      </w:r>
      <w:r w:rsidRPr="00E708F7">
        <w:rPr>
          <w:rFonts w:ascii="Arial" w:hAnsi="Arial" w:cs="Arial"/>
          <w:sz w:val="22"/>
          <w:szCs w:val="22"/>
        </w:rPr>
        <w:t xml:space="preserve"> size o</w:t>
      </w:r>
      <w:r w:rsidR="005F2521" w:rsidRPr="00E708F7">
        <w:rPr>
          <w:rFonts w:ascii="Arial" w:hAnsi="Arial" w:cs="Arial"/>
          <w:sz w:val="22"/>
          <w:szCs w:val="22"/>
        </w:rPr>
        <w:t xml:space="preserve">f groups, which </w:t>
      </w:r>
      <w:r w:rsidRPr="00E708F7">
        <w:rPr>
          <w:rFonts w:ascii="Arial" w:hAnsi="Arial" w:cs="Arial"/>
          <w:sz w:val="22"/>
          <w:szCs w:val="22"/>
        </w:rPr>
        <w:t>enable</w:t>
      </w:r>
      <w:r w:rsidR="005F2521" w:rsidRPr="00E708F7">
        <w:rPr>
          <w:rFonts w:ascii="Arial" w:hAnsi="Arial" w:cs="Arial"/>
          <w:sz w:val="22"/>
          <w:szCs w:val="22"/>
        </w:rPr>
        <w:t>s</w:t>
      </w:r>
      <w:r w:rsidRPr="00E708F7">
        <w:rPr>
          <w:rFonts w:ascii="Arial" w:hAnsi="Arial" w:cs="Arial"/>
          <w:sz w:val="22"/>
          <w:szCs w:val="22"/>
        </w:rPr>
        <w:t xml:space="preserve"> us to respond </w:t>
      </w:r>
      <w:r w:rsidR="005F2521" w:rsidRPr="00E708F7">
        <w:rPr>
          <w:rFonts w:ascii="Arial" w:hAnsi="Arial" w:cs="Arial"/>
          <w:sz w:val="22"/>
          <w:szCs w:val="22"/>
        </w:rPr>
        <w:t xml:space="preserve">quickly </w:t>
      </w:r>
      <w:r w:rsidRPr="00E708F7">
        <w:rPr>
          <w:rFonts w:ascii="Arial" w:hAnsi="Arial" w:cs="Arial"/>
          <w:sz w:val="22"/>
          <w:szCs w:val="22"/>
        </w:rPr>
        <w:t xml:space="preserve">to new career trends </w:t>
      </w:r>
      <w:r w:rsidR="005F2521" w:rsidRPr="00E708F7">
        <w:rPr>
          <w:rFonts w:ascii="Arial" w:hAnsi="Arial" w:cs="Arial"/>
          <w:sz w:val="22"/>
          <w:szCs w:val="22"/>
        </w:rPr>
        <w:t>and interests from trainees.</w:t>
      </w:r>
    </w:p>
    <w:p w14:paraId="25BA7F1F" w14:textId="15393CDC" w:rsidR="00150E50" w:rsidRPr="00E708F7" w:rsidRDefault="00BB7C7C" w:rsidP="00150E50">
      <w:pPr>
        <w:pStyle w:val="ColorfulList-Accent11"/>
        <w:numPr>
          <w:ilvl w:val="0"/>
          <w:numId w:val="1"/>
        </w:numPr>
        <w:jc w:val="both"/>
        <w:rPr>
          <w:rFonts w:ascii="Arial" w:hAnsi="Arial" w:cs="Arial"/>
          <w:sz w:val="22"/>
          <w:szCs w:val="22"/>
        </w:rPr>
      </w:pPr>
      <w:r w:rsidRPr="00E708F7">
        <w:rPr>
          <w:rFonts w:ascii="Arial" w:hAnsi="Arial" w:cs="Arial"/>
          <w:i/>
          <w:sz w:val="22"/>
          <w:szCs w:val="22"/>
        </w:rPr>
        <w:t>Affinity Groups.</w:t>
      </w:r>
      <w:r w:rsidRPr="00E708F7">
        <w:rPr>
          <w:rFonts w:ascii="Arial" w:hAnsi="Arial" w:cs="Arial"/>
          <w:sz w:val="22"/>
          <w:szCs w:val="22"/>
        </w:rPr>
        <w:t xml:space="preserve"> TIBBS also sponsors </w:t>
      </w:r>
      <w:r w:rsidR="005C3392" w:rsidRPr="00E708F7">
        <w:rPr>
          <w:rFonts w:ascii="Arial" w:hAnsi="Arial" w:cs="Arial"/>
          <w:sz w:val="22"/>
          <w:szCs w:val="22"/>
        </w:rPr>
        <w:t>trainee</w:t>
      </w:r>
      <w:r w:rsidRPr="00E708F7">
        <w:rPr>
          <w:rFonts w:ascii="Arial" w:hAnsi="Arial" w:cs="Arial"/>
          <w:sz w:val="22"/>
          <w:szCs w:val="22"/>
        </w:rPr>
        <w:t xml:space="preserve"> clubs that focus on supporting and developing </w:t>
      </w:r>
      <w:r w:rsidR="00CB264A" w:rsidRPr="00E708F7">
        <w:rPr>
          <w:rFonts w:ascii="Arial" w:hAnsi="Arial" w:cs="Arial"/>
          <w:sz w:val="22"/>
          <w:szCs w:val="22"/>
        </w:rPr>
        <w:t>trainees</w:t>
      </w:r>
      <w:r w:rsidRPr="00E708F7">
        <w:rPr>
          <w:rFonts w:ascii="Arial" w:hAnsi="Arial" w:cs="Arial"/>
          <w:sz w:val="22"/>
          <w:szCs w:val="22"/>
        </w:rPr>
        <w:t xml:space="preserve"> from various groups</w:t>
      </w:r>
      <w:r w:rsidR="00D606B0">
        <w:rPr>
          <w:rFonts w:ascii="Arial" w:hAnsi="Arial" w:cs="Arial"/>
          <w:sz w:val="22"/>
          <w:szCs w:val="22"/>
        </w:rPr>
        <w:t xml:space="preserve"> with </w:t>
      </w:r>
      <w:r w:rsidR="00E94825">
        <w:rPr>
          <w:rFonts w:ascii="Arial" w:hAnsi="Arial" w:cs="Arial"/>
          <w:sz w:val="22"/>
          <w:szCs w:val="22"/>
        </w:rPr>
        <w:t xml:space="preserve">tailored </w:t>
      </w:r>
      <w:r w:rsidR="00B42090">
        <w:rPr>
          <w:rFonts w:ascii="Arial" w:hAnsi="Arial" w:cs="Arial"/>
          <w:sz w:val="22"/>
          <w:szCs w:val="22"/>
        </w:rPr>
        <w:t xml:space="preserve">events around </w:t>
      </w:r>
      <w:r w:rsidR="00C118DC">
        <w:rPr>
          <w:rFonts w:ascii="Arial" w:hAnsi="Arial" w:cs="Arial"/>
          <w:sz w:val="22"/>
          <w:szCs w:val="22"/>
        </w:rPr>
        <w:t xml:space="preserve">professional </w:t>
      </w:r>
      <w:r w:rsidR="00E94825">
        <w:rPr>
          <w:rFonts w:ascii="Arial" w:hAnsi="Arial" w:cs="Arial"/>
          <w:sz w:val="22"/>
          <w:szCs w:val="22"/>
        </w:rPr>
        <w:t xml:space="preserve">networking, community-building, and </w:t>
      </w:r>
      <w:r w:rsidR="00C118DC">
        <w:rPr>
          <w:rFonts w:ascii="Arial" w:hAnsi="Arial" w:cs="Arial"/>
          <w:sz w:val="22"/>
          <w:szCs w:val="22"/>
        </w:rPr>
        <w:t>career</w:t>
      </w:r>
      <w:r w:rsidR="00E94825">
        <w:rPr>
          <w:rFonts w:ascii="Arial" w:hAnsi="Arial" w:cs="Arial"/>
          <w:sz w:val="22"/>
          <w:szCs w:val="22"/>
        </w:rPr>
        <w:t xml:space="preserve"> development</w:t>
      </w:r>
      <w:r w:rsidR="00CB264A" w:rsidRPr="00E708F7">
        <w:rPr>
          <w:rFonts w:ascii="Arial" w:hAnsi="Arial" w:cs="Arial"/>
          <w:sz w:val="22"/>
          <w:szCs w:val="22"/>
        </w:rPr>
        <w:t>, including the Society for Black Biomedical Scientists</w:t>
      </w:r>
      <w:r w:rsidR="00150E50" w:rsidRPr="00E708F7">
        <w:rPr>
          <w:rFonts w:ascii="Arial" w:hAnsi="Arial" w:cs="Arial"/>
          <w:sz w:val="22"/>
          <w:szCs w:val="22"/>
        </w:rPr>
        <w:t xml:space="preserve"> (African-American scientists)</w:t>
      </w:r>
      <w:r w:rsidR="00CB264A" w:rsidRPr="00E708F7">
        <w:rPr>
          <w:rFonts w:ascii="Arial" w:hAnsi="Arial" w:cs="Arial"/>
          <w:sz w:val="22"/>
          <w:szCs w:val="22"/>
        </w:rPr>
        <w:t xml:space="preserve">, </w:t>
      </w:r>
      <w:r w:rsidR="00850A8C" w:rsidRPr="00E708F7">
        <w:rPr>
          <w:rFonts w:ascii="Arial" w:hAnsi="Arial" w:cs="Arial"/>
          <w:sz w:val="22"/>
          <w:szCs w:val="22"/>
        </w:rPr>
        <w:t>Middle Eastern and North African Scientists</w:t>
      </w:r>
      <w:r w:rsidR="002418BC" w:rsidRPr="00E708F7">
        <w:rPr>
          <w:rFonts w:ascii="Arial" w:hAnsi="Arial" w:cs="Arial"/>
          <w:sz w:val="22"/>
          <w:szCs w:val="22"/>
        </w:rPr>
        <w:t>,</w:t>
      </w:r>
      <w:r w:rsidR="00850A8C" w:rsidRPr="00E708F7">
        <w:rPr>
          <w:rFonts w:ascii="Arial" w:hAnsi="Arial" w:cs="Arial"/>
          <w:sz w:val="22"/>
          <w:szCs w:val="22"/>
        </w:rPr>
        <w:t xml:space="preserve"> </w:t>
      </w:r>
      <w:r w:rsidR="00CB264A" w:rsidRPr="00E708F7">
        <w:rPr>
          <w:rFonts w:ascii="Arial" w:hAnsi="Arial" w:cs="Arial"/>
          <w:sz w:val="22"/>
          <w:szCs w:val="22"/>
        </w:rPr>
        <w:t>Global Perspectives in Biomedicine</w:t>
      </w:r>
      <w:r w:rsidR="00150E50" w:rsidRPr="00E708F7">
        <w:rPr>
          <w:rFonts w:ascii="Arial" w:hAnsi="Arial" w:cs="Arial"/>
          <w:sz w:val="22"/>
          <w:szCs w:val="22"/>
        </w:rPr>
        <w:t xml:space="preserve"> (international trainees)</w:t>
      </w:r>
      <w:r w:rsidR="00CB264A" w:rsidRPr="00E708F7">
        <w:rPr>
          <w:rFonts w:ascii="Arial" w:hAnsi="Arial" w:cs="Arial"/>
          <w:sz w:val="22"/>
          <w:szCs w:val="22"/>
        </w:rPr>
        <w:t>, STEM Pride</w:t>
      </w:r>
      <w:r w:rsidR="00AD0944" w:rsidRPr="00E708F7">
        <w:rPr>
          <w:rFonts w:ascii="Arial" w:hAnsi="Arial" w:cs="Arial"/>
          <w:sz w:val="22"/>
          <w:szCs w:val="22"/>
        </w:rPr>
        <w:t xml:space="preserve"> (</w:t>
      </w:r>
      <w:r w:rsidR="00150E50" w:rsidRPr="00E708F7">
        <w:rPr>
          <w:rFonts w:ascii="Arial" w:hAnsi="Arial" w:cs="Arial"/>
          <w:sz w:val="22"/>
          <w:szCs w:val="22"/>
        </w:rPr>
        <w:t>LGBTQ+ and allied STEM students and professionals</w:t>
      </w:r>
      <w:r w:rsidR="00AD0944" w:rsidRPr="00E708F7">
        <w:rPr>
          <w:rFonts w:ascii="Arial" w:hAnsi="Arial" w:cs="Arial"/>
          <w:sz w:val="22"/>
          <w:szCs w:val="22"/>
        </w:rPr>
        <w:t>)</w:t>
      </w:r>
      <w:r w:rsidR="00CB264A" w:rsidRPr="00E708F7">
        <w:rPr>
          <w:rFonts w:ascii="Arial" w:hAnsi="Arial" w:cs="Arial"/>
          <w:sz w:val="22"/>
          <w:szCs w:val="22"/>
        </w:rPr>
        <w:t>, Women in Science</w:t>
      </w:r>
      <w:r w:rsidR="00150E50" w:rsidRPr="00E708F7">
        <w:rPr>
          <w:rFonts w:ascii="Arial" w:hAnsi="Arial" w:cs="Arial"/>
          <w:sz w:val="22"/>
          <w:szCs w:val="22"/>
        </w:rPr>
        <w:t xml:space="preserve"> (women-identifying scientists, including an annual symposium),</w:t>
      </w:r>
      <w:r w:rsidR="00CB264A" w:rsidRPr="00E708F7">
        <w:rPr>
          <w:rFonts w:ascii="Arial" w:hAnsi="Arial" w:cs="Arial"/>
          <w:sz w:val="22"/>
          <w:szCs w:val="22"/>
        </w:rPr>
        <w:t xml:space="preserve"> and </w:t>
      </w:r>
      <w:r w:rsidR="00150E50" w:rsidRPr="00E708F7">
        <w:rPr>
          <w:rFonts w:ascii="Arial" w:hAnsi="Arial" w:cs="Arial"/>
          <w:sz w:val="22"/>
          <w:szCs w:val="22"/>
        </w:rPr>
        <w:t xml:space="preserve">a </w:t>
      </w:r>
      <w:r w:rsidR="00CB264A" w:rsidRPr="00E708F7">
        <w:rPr>
          <w:rFonts w:ascii="Arial" w:hAnsi="Arial" w:cs="Arial"/>
          <w:sz w:val="22"/>
          <w:szCs w:val="22"/>
        </w:rPr>
        <w:t>student chapter</w:t>
      </w:r>
      <w:r w:rsidR="00150E50" w:rsidRPr="00E708F7">
        <w:rPr>
          <w:rFonts w:ascii="Arial" w:hAnsi="Arial" w:cs="Arial"/>
          <w:sz w:val="22"/>
          <w:szCs w:val="22"/>
        </w:rPr>
        <w:t xml:space="preserve"> </w:t>
      </w:r>
      <w:r w:rsidR="00CB264A" w:rsidRPr="00E708F7">
        <w:rPr>
          <w:rFonts w:ascii="Arial" w:hAnsi="Arial" w:cs="Arial"/>
          <w:sz w:val="22"/>
          <w:szCs w:val="22"/>
        </w:rPr>
        <w:t>of the Society for the Advancement of Chicano</w:t>
      </w:r>
      <w:r w:rsidR="005C3392" w:rsidRPr="00E708F7">
        <w:rPr>
          <w:rFonts w:ascii="Arial" w:hAnsi="Arial" w:cs="Arial"/>
          <w:sz w:val="22"/>
          <w:szCs w:val="22"/>
        </w:rPr>
        <w:t>/Hispanic and Native American Scientists (</w:t>
      </w:r>
      <w:r w:rsidR="00150E50" w:rsidRPr="00E708F7">
        <w:rPr>
          <w:rFonts w:ascii="Arial" w:hAnsi="Arial" w:cs="Arial"/>
          <w:sz w:val="22"/>
          <w:szCs w:val="22"/>
        </w:rPr>
        <w:t>for indigenous and Latinx trainees</w:t>
      </w:r>
      <w:r w:rsidR="005C3392" w:rsidRPr="00E708F7">
        <w:rPr>
          <w:rFonts w:ascii="Arial" w:hAnsi="Arial" w:cs="Arial"/>
          <w:sz w:val="22"/>
          <w:szCs w:val="22"/>
        </w:rPr>
        <w:t>)</w:t>
      </w:r>
      <w:r w:rsidR="00E148F2" w:rsidRPr="00E708F7">
        <w:rPr>
          <w:rFonts w:ascii="Arial" w:hAnsi="Arial" w:cs="Arial"/>
          <w:sz w:val="22"/>
          <w:szCs w:val="22"/>
        </w:rPr>
        <w:t>;</w:t>
      </w:r>
      <w:r w:rsidR="005C3392" w:rsidRPr="00E708F7">
        <w:rPr>
          <w:rFonts w:ascii="Arial" w:hAnsi="Arial" w:cs="Arial"/>
          <w:sz w:val="22"/>
          <w:szCs w:val="22"/>
        </w:rPr>
        <w:t>.</w:t>
      </w:r>
      <w:r w:rsidR="0014252E" w:rsidRPr="00E708F7">
        <w:rPr>
          <w:rFonts w:ascii="Arial" w:hAnsi="Arial" w:cs="Arial"/>
          <w:sz w:val="22"/>
          <w:szCs w:val="22"/>
        </w:rPr>
        <w:t xml:space="preserve"> </w:t>
      </w:r>
    </w:p>
    <w:p w14:paraId="7EAB8194" w14:textId="22D4CAB5" w:rsidR="00BB7C7C" w:rsidRPr="00E708F7" w:rsidRDefault="00BB7C7C" w:rsidP="005F2521">
      <w:pPr>
        <w:pStyle w:val="ColorfulList-Accent11"/>
        <w:numPr>
          <w:ilvl w:val="0"/>
          <w:numId w:val="1"/>
        </w:numPr>
        <w:jc w:val="both"/>
        <w:rPr>
          <w:rFonts w:ascii="Arial" w:hAnsi="Arial" w:cs="Arial"/>
          <w:sz w:val="22"/>
          <w:szCs w:val="22"/>
        </w:rPr>
      </w:pPr>
      <w:r w:rsidRPr="00E708F7">
        <w:rPr>
          <w:rFonts w:ascii="Arial" w:hAnsi="Arial" w:cs="Arial"/>
          <w:i/>
          <w:sz w:val="22"/>
          <w:szCs w:val="22"/>
        </w:rPr>
        <w:t>Wellness.</w:t>
      </w:r>
      <w:r w:rsidRPr="00E708F7">
        <w:rPr>
          <w:rFonts w:ascii="Arial" w:hAnsi="Arial" w:cs="Arial"/>
          <w:sz w:val="22"/>
          <w:szCs w:val="22"/>
        </w:rPr>
        <w:t xml:space="preserve"> </w:t>
      </w:r>
      <w:r w:rsidR="009C5868" w:rsidRPr="00E708F7">
        <w:rPr>
          <w:rFonts w:ascii="Arial" w:hAnsi="Arial" w:cs="Arial"/>
          <w:sz w:val="22"/>
          <w:szCs w:val="22"/>
        </w:rPr>
        <w:t>TIBBS</w:t>
      </w:r>
      <w:r w:rsidR="00CB264A" w:rsidRPr="00E708F7">
        <w:rPr>
          <w:rFonts w:ascii="Arial" w:hAnsi="Arial" w:cs="Arial"/>
          <w:sz w:val="22"/>
          <w:szCs w:val="22"/>
        </w:rPr>
        <w:t xml:space="preserve"> take</w:t>
      </w:r>
      <w:r w:rsidR="009C5868" w:rsidRPr="00E708F7">
        <w:rPr>
          <w:rFonts w:ascii="Arial" w:hAnsi="Arial" w:cs="Arial"/>
          <w:sz w:val="22"/>
          <w:szCs w:val="22"/>
        </w:rPr>
        <w:t>s</w:t>
      </w:r>
      <w:r w:rsidR="00CB264A" w:rsidRPr="00E708F7">
        <w:rPr>
          <w:rFonts w:ascii="Arial" w:hAnsi="Arial" w:cs="Arial"/>
          <w:sz w:val="22"/>
          <w:szCs w:val="22"/>
        </w:rPr>
        <w:t xml:space="preserve"> a holistic approach to professional development and </w:t>
      </w:r>
      <w:r w:rsidR="00A27A0E" w:rsidRPr="00E708F7">
        <w:rPr>
          <w:rFonts w:ascii="Arial" w:hAnsi="Arial" w:cs="Arial"/>
          <w:sz w:val="22"/>
          <w:szCs w:val="22"/>
        </w:rPr>
        <w:t xml:space="preserve">believes in </w:t>
      </w:r>
      <w:r w:rsidR="00CB264A" w:rsidRPr="00E708F7">
        <w:rPr>
          <w:rFonts w:ascii="Arial" w:hAnsi="Arial" w:cs="Arial"/>
          <w:sz w:val="22"/>
          <w:szCs w:val="22"/>
        </w:rPr>
        <w:t xml:space="preserve">developing the whole </w:t>
      </w:r>
      <w:r w:rsidR="00AD0944" w:rsidRPr="00E708F7">
        <w:rPr>
          <w:rFonts w:ascii="Arial" w:hAnsi="Arial" w:cs="Arial"/>
          <w:sz w:val="22"/>
          <w:szCs w:val="22"/>
        </w:rPr>
        <w:t>person</w:t>
      </w:r>
      <w:r w:rsidR="00CB264A" w:rsidRPr="00E708F7">
        <w:rPr>
          <w:rFonts w:ascii="Arial" w:hAnsi="Arial" w:cs="Arial"/>
          <w:sz w:val="22"/>
          <w:szCs w:val="22"/>
        </w:rPr>
        <w:t xml:space="preserve">, including support of </w:t>
      </w:r>
      <w:r w:rsidR="00A27A0E" w:rsidRPr="00E708F7">
        <w:rPr>
          <w:rFonts w:ascii="Arial" w:hAnsi="Arial" w:cs="Arial"/>
          <w:sz w:val="22"/>
          <w:szCs w:val="22"/>
        </w:rPr>
        <w:t xml:space="preserve">trainees’ </w:t>
      </w:r>
      <w:r w:rsidR="00CB264A" w:rsidRPr="00E708F7">
        <w:rPr>
          <w:rFonts w:ascii="Arial" w:hAnsi="Arial" w:cs="Arial"/>
          <w:sz w:val="22"/>
          <w:szCs w:val="22"/>
        </w:rPr>
        <w:t>mental health and wellness.</w:t>
      </w:r>
      <w:r w:rsidR="00AD0944" w:rsidRPr="00E708F7">
        <w:rPr>
          <w:rFonts w:ascii="Arial" w:hAnsi="Arial" w:cs="Arial"/>
          <w:sz w:val="22"/>
          <w:szCs w:val="22"/>
        </w:rPr>
        <w:t xml:space="preserve"> </w:t>
      </w:r>
      <w:r w:rsidR="00BC08E1" w:rsidRPr="00E708F7">
        <w:rPr>
          <w:rFonts w:ascii="Arial" w:hAnsi="Arial" w:cs="Arial"/>
          <w:sz w:val="22"/>
          <w:szCs w:val="22"/>
        </w:rPr>
        <w:t>Our OGE Wellness Committee</w:t>
      </w:r>
      <w:r w:rsidR="00BC08E1" w:rsidRPr="00E708F7" w:rsidDel="00B55690">
        <w:rPr>
          <w:rFonts w:ascii="Arial" w:hAnsi="Arial" w:cs="Arial"/>
          <w:sz w:val="22"/>
          <w:szCs w:val="22"/>
        </w:rPr>
        <w:t xml:space="preserve"> </w:t>
      </w:r>
      <w:r w:rsidR="00BC08E1" w:rsidRPr="00E708F7">
        <w:rPr>
          <w:rFonts w:ascii="Arial" w:hAnsi="Arial" w:cs="Arial"/>
          <w:sz w:val="22"/>
          <w:szCs w:val="22"/>
        </w:rPr>
        <w:t>provide</w:t>
      </w:r>
      <w:r w:rsidR="00B55690" w:rsidRPr="00E708F7">
        <w:rPr>
          <w:rFonts w:ascii="Arial" w:hAnsi="Arial" w:cs="Arial"/>
          <w:sz w:val="22"/>
          <w:szCs w:val="22"/>
        </w:rPr>
        <w:t>s</w:t>
      </w:r>
      <w:r w:rsidR="00BC08E1" w:rsidRPr="00E708F7">
        <w:rPr>
          <w:rFonts w:ascii="Arial" w:hAnsi="Arial" w:cs="Arial"/>
          <w:sz w:val="22"/>
          <w:szCs w:val="22"/>
        </w:rPr>
        <w:t xml:space="preserve"> support and run</w:t>
      </w:r>
      <w:r w:rsidR="00B55690" w:rsidRPr="00E708F7">
        <w:rPr>
          <w:rFonts w:ascii="Arial" w:hAnsi="Arial" w:cs="Arial"/>
          <w:sz w:val="22"/>
          <w:szCs w:val="22"/>
        </w:rPr>
        <w:t>s</w:t>
      </w:r>
      <w:r w:rsidR="00BC08E1" w:rsidRPr="00E708F7">
        <w:rPr>
          <w:rFonts w:ascii="Arial" w:hAnsi="Arial" w:cs="Arial"/>
          <w:sz w:val="22"/>
          <w:szCs w:val="22"/>
        </w:rPr>
        <w:t xml:space="preserve"> events to enhance visibility of and improve wellness for our trainee community. </w:t>
      </w:r>
      <w:r w:rsidR="00AD0944" w:rsidRPr="00E708F7">
        <w:rPr>
          <w:rFonts w:ascii="Arial" w:hAnsi="Arial" w:cs="Arial"/>
          <w:sz w:val="22"/>
          <w:szCs w:val="22"/>
        </w:rPr>
        <w:t xml:space="preserve">TIBBS co-sponsors regular events </w:t>
      </w:r>
      <w:r w:rsidR="00BC08E1" w:rsidRPr="00E708F7">
        <w:rPr>
          <w:rFonts w:ascii="Arial" w:hAnsi="Arial" w:cs="Arial"/>
          <w:sz w:val="22"/>
          <w:szCs w:val="22"/>
        </w:rPr>
        <w:t xml:space="preserve">with the Wellness Committee </w:t>
      </w:r>
      <w:r w:rsidR="00AD0944" w:rsidRPr="00E708F7">
        <w:rPr>
          <w:rFonts w:ascii="Arial" w:hAnsi="Arial" w:cs="Arial"/>
          <w:sz w:val="22"/>
          <w:szCs w:val="22"/>
        </w:rPr>
        <w:t xml:space="preserve">focused on </w:t>
      </w:r>
      <w:r w:rsidR="00BC08E1" w:rsidRPr="00E708F7">
        <w:rPr>
          <w:rFonts w:ascii="Arial" w:hAnsi="Arial" w:cs="Arial"/>
          <w:sz w:val="22"/>
          <w:szCs w:val="22"/>
        </w:rPr>
        <w:t xml:space="preserve">topics </w:t>
      </w:r>
      <w:r w:rsidR="00AD0944" w:rsidRPr="00E708F7">
        <w:rPr>
          <w:rFonts w:ascii="Arial" w:hAnsi="Arial" w:cs="Arial"/>
          <w:sz w:val="22"/>
          <w:szCs w:val="22"/>
        </w:rPr>
        <w:t xml:space="preserve">such as mindfulness, journaling, and reducing stress, and provides information for accessing resources available to them such as </w:t>
      </w:r>
      <w:r w:rsidR="00B55690" w:rsidRPr="00E708F7">
        <w:rPr>
          <w:rFonts w:ascii="Arial" w:hAnsi="Arial" w:cs="Arial"/>
          <w:sz w:val="22"/>
          <w:szCs w:val="22"/>
        </w:rPr>
        <w:t xml:space="preserve">an </w:t>
      </w:r>
      <w:r w:rsidR="00DA08CA" w:rsidRPr="00E708F7">
        <w:rPr>
          <w:rFonts w:ascii="Arial" w:hAnsi="Arial" w:cs="Arial"/>
          <w:sz w:val="22"/>
          <w:szCs w:val="22"/>
        </w:rPr>
        <w:t>embedded</w:t>
      </w:r>
      <w:r w:rsidR="00B55690" w:rsidRPr="00E708F7">
        <w:rPr>
          <w:rFonts w:ascii="Arial" w:hAnsi="Arial" w:cs="Arial"/>
          <w:sz w:val="22"/>
          <w:szCs w:val="22"/>
        </w:rPr>
        <w:t xml:space="preserve"> </w:t>
      </w:r>
      <w:r w:rsidR="00D74F75" w:rsidRPr="00E708F7">
        <w:rPr>
          <w:rFonts w:ascii="Arial" w:hAnsi="Arial" w:cs="Arial"/>
          <w:sz w:val="22"/>
          <w:szCs w:val="22"/>
        </w:rPr>
        <w:t>licensed clinical social worker</w:t>
      </w:r>
      <w:r w:rsidR="003A6900" w:rsidRPr="00E708F7">
        <w:rPr>
          <w:rFonts w:ascii="Arial" w:hAnsi="Arial" w:cs="Arial"/>
          <w:sz w:val="22"/>
          <w:szCs w:val="22"/>
        </w:rPr>
        <w:t xml:space="preserve"> who works exclusively with BBSP students to support them with their mental health</w:t>
      </w:r>
      <w:r w:rsidR="003F04AD" w:rsidRPr="00E708F7">
        <w:rPr>
          <w:rFonts w:ascii="Arial" w:hAnsi="Arial" w:cs="Arial"/>
          <w:sz w:val="22"/>
          <w:szCs w:val="22"/>
        </w:rPr>
        <w:t xml:space="preserve"> </w:t>
      </w:r>
      <w:r w:rsidR="00792966" w:rsidRPr="00E708F7">
        <w:rPr>
          <w:rFonts w:ascii="Arial" w:hAnsi="Arial" w:cs="Arial"/>
          <w:sz w:val="22"/>
          <w:szCs w:val="22"/>
        </w:rPr>
        <w:t>Trainees</w:t>
      </w:r>
      <w:r w:rsidR="009E4992" w:rsidRPr="00E708F7">
        <w:rPr>
          <w:rFonts w:ascii="Arial" w:hAnsi="Arial" w:cs="Arial"/>
          <w:sz w:val="22"/>
          <w:szCs w:val="22"/>
        </w:rPr>
        <w:t xml:space="preserve"> who are struggling with anxiety, depression, adjustment, relationships, and other concerns</w:t>
      </w:r>
      <w:r w:rsidR="00792966" w:rsidRPr="00E708F7">
        <w:rPr>
          <w:rFonts w:ascii="Arial" w:hAnsi="Arial" w:cs="Arial"/>
          <w:sz w:val="22"/>
          <w:szCs w:val="22"/>
        </w:rPr>
        <w:t xml:space="preserve"> can meet with the therapist up to 6 times</w:t>
      </w:r>
      <w:r w:rsidR="00C45FA2" w:rsidRPr="00E708F7">
        <w:rPr>
          <w:rFonts w:ascii="Arial" w:hAnsi="Arial" w:cs="Arial"/>
          <w:sz w:val="22"/>
          <w:szCs w:val="22"/>
        </w:rPr>
        <w:t xml:space="preserve"> for free</w:t>
      </w:r>
      <w:r w:rsidR="00792966" w:rsidRPr="00E708F7">
        <w:rPr>
          <w:rFonts w:ascii="Arial" w:hAnsi="Arial" w:cs="Arial"/>
          <w:sz w:val="22"/>
          <w:szCs w:val="22"/>
        </w:rPr>
        <w:t xml:space="preserve">. </w:t>
      </w:r>
      <w:r w:rsidR="00C45FA2" w:rsidRPr="00E708F7">
        <w:rPr>
          <w:rFonts w:ascii="Arial" w:hAnsi="Arial" w:cs="Arial"/>
          <w:sz w:val="22"/>
          <w:szCs w:val="22"/>
        </w:rPr>
        <w:t xml:space="preserve">Referral to community </w:t>
      </w:r>
      <w:r w:rsidR="002D5E8B" w:rsidRPr="00E708F7">
        <w:rPr>
          <w:rFonts w:ascii="Arial" w:hAnsi="Arial" w:cs="Arial"/>
          <w:sz w:val="22"/>
          <w:szCs w:val="22"/>
        </w:rPr>
        <w:t>mental health services</w:t>
      </w:r>
      <w:r w:rsidR="00792966" w:rsidRPr="00E708F7">
        <w:rPr>
          <w:rFonts w:ascii="Arial" w:hAnsi="Arial" w:cs="Arial"/>
          <w:sz w:val="22"/>
          <w:szCs w:val="22"/>
        </w:rPr>
        <w:t xml:space="preserve"> is also </w:t>
      </w:r>
      <w:r w:rsidR="00C45FA2" w:rsidRPr="00E708F7">
        <w:rPr>
          <w:rFonts w:ascii="Arial" w:hAnsi="Arial" w:cs="Arial"/>
          <w:sz w:val="22"/>
          <w:szCs w:val="22"/>
        </w:rPr>
        <w:t>a</w:t>
      </w:r>
      <w:r w:rsidR="002D5E8B" w:rsidRPr="00E708F7">
        <w:rPr>
          <w:rFonts w:ascii="Arial" w:hAnsi="Arial" w:cs="Arial"/>
          <w:sz w:val="22"/>
          <w:szCs w:val="22"/>
        </w:rPr>
        <w:t xml:space="preserve">vailable. </w:t>
      </w:r>
      <w:r w:rsidR="009E4992" w:rsidRPr="00E708F7">
        <w:rPr>
          <w:rFonts w:ascii="Arial" w:hAnsi="Arial" w:cs="Arial"/>
          <w:sz w:val="22"/>
          <w:szCs w:val="22"/>
        </w:rPr>
        <w:t xml:space="preserve"> </w:t>
      </w:r>
    </w:p>
    <w:p w14:paraId="2239BE1C" w14:textId="77777777" w:rsidR="008B7C21" w:rsidRPr="00E708F7" w:rsidRDefault="008B7C21" w:rsidP="0025131E">
      <w:pPr>
        <w:jc w:val="both"/>
        <w:rPr>
          <w:rFonts w:ascii="Arial" w:hAnsi="Arial" w:cs="Arial"/>
          <w:sz w:val="22"/>
          <w:szCs w:val="22"/>
        </w:rPr>
      </w:pPr>
    </w:p>
    <w:p w14:paraId="1C3EFDC9" w14:textId="77777777" w:rsidR="0025131E" w:rsidRPr="00E708F7" w:rsidRDefault="0025131E" w:rsidP="0025131E">
      <w:pPr>
        <w:jc w:val="both"/>
        <w:rPr>
          <w:rFonts w:ascii="Arial" w:hAnsi="Arial" w:cs="Arial"/>
          <w:sz w:val="22"/>
          <w:szCs w:val="22"/>
        </w:rPr>
      </w:pPr>
      <w:r w:rsidRPr="00E708F7">
        <w:rPr>
          <w:rFonts w:ascii="Arial" w:hAnsi="Arial" w:cs="Arial"/>
          <w:b/>
          <w:i/>
          <w:sz w:val="22"/>
          <w:szCs w:val="22"/>
        </w:rPr>
        <w:t>TIBBS Services</w:t>
      </w:r>
      <w:r w:rsidRPr="00E708F7">
        <w:rPr>
          <w:rFonts w:ascii="Arial" w:hAnsi="Arial" w:cs="Arial"/>
          <w:b/>
          <w:sz w:val="22"/>
          <w:szCs w:val="22"/>
        </w:rPr>
        <w:t>.</w:t>
      </w:r>
      <w:r w:rsidRPr="00E708F7">
        <w:rPr>
          <w:rFonts w:ascii="Arial" w:hAnsi="Arial" w:cs="Arial"/>
          <w:sz w:val="22"/>
          <w:szCs w:val="22"/>
        </w:rPr>
        <w:t xml:space="preserve"> In addition to regular career awareness and professional development programming, TIBBS provides </w:t>
      </w:r>
      <w:proofErr w:type="gramStart"/>
      <w:r w:rsidRPr="00E708F7">
        <w:rPr>
          <w:rFonts w:ascii="Arial" w:hAnsi="Arial" w:cs="Arial"/>
          <w:sz w:val="22"/>
          <w:szCs w:val="22"/>
        </w:rPr>
        <w:t>a number of</w:t>
      </w:r>
      <w:proofErr w:type="gramEnd"/>
      <w:r w:rsidRPr="00E708F7">
        <w:rPr>
          <w:rFonts w:ascii="Arial" w:hAnsi="Arial" w:cs="Arial"/>
          <w:sz w:val="22"/>
          <w:szCs w:val="22"/>
        </w:rPr>
        <w:t xml:space="preserve"> other services</w:t>
      </w:r>
      <w:r w:rsidR="00E41F61" w:rsidRPr="00E708F7">
        <w:rPr>
          <w:rFonts w:ascii="Arial" w:hAnsi="Arial" w:cs="Arial"/>
          <w:sz w:val="22"/>
          <w:szCs w:val="22"/>
        </w:rPr>
        <w:t xml:space="preserve"> and support affiliated groups</w:t>
      </w:r>
      <w:r w:rsidRPr="00E708F7">
        <w:rPr>
          <w:rFonts w:ascii="Arial" w:hAnsi="Arial" w:cs="Arial"/>
          <w:sz w:val="22"/>
          <w:szCs w:val="22"/>
        </w:rPr>
        <w:t>, as follows:</w:t>
      </w:r>
    </w:p>
    <w:p w14:paraId="379ABD2F" w14:textId="77777777" w:rsidR="0025131E" w:rsidRPr="00E708F7" w:rsidRDefault="0025131E" w:rsidP="0025131E">
      <w:pPr>
        <w:pStyle w:val="ColorfulList-Accent11"/>
        <w:numPr>
          <w:ilvl w:val="0"/>
          <w:numId w:val="2"/>
        </w:numPr>
        <w:jc w:val="both"/>
        <w:rPr>
          <w:rFonts w:ascii="Arial" w:hAnsi="Arial" w:cs="Arial"/>
          <w:sz w:val="22"/>
          <w:szCs w:val="22"/>
        </w:rPr>
      </w:pPr>
      <w:r w:rsidRPr="00E708F7">
        <w:rPr>
          <w:rFonts w:ascii="Arial" w:hAnsi="Arial" w:cs="Arial"/>
          <w:sz w:val="22"/>
          <w:szCs w:val="22"/>
        </w:rPr>
        <w:t xml:space="preserve">One-on-one career coaching, individual development plan (IDP) meetings, and CV/resume review with Dr. </w:t>
      </w:r>
      <w:r w:rsidR="009F073E" w:rsidRPr="00E708F7">
        <w:rPr>
          <w:rFonts w:ascii="Arial" w:hAnsi="Arial" w:cs="Arial"/>
          <w:sz w:val="22"/>
          <w:szCs w:val="22"/>
        </w:rPr>
        <w:t>Rebekah Layton</w:t>
      </w:r>
      <w:r w:rsidRPr="00E708F7">
        <w:rPr>
          <w:rFonts w:ascii="Arial" w:hAnsi="Arial" w:cs="Arial"/>
          <w:sz w:val="22"/>
          <w:szCs w:val="22"/>
        </w:rPr>
        <w:t xml:space="preserve"> or Dr. Patrick Brandt</w:t>
      </w:r>
      <w:r w:rsidR="00A54666" w:rsidRPr="00E708F7">
        <w:rPr>
          <w:rFonts w:ascii="Arial" w:hAnsi="Arial" w:cs="Arial"/>
          <w:sz w:val="22"/>
          <w:szCs w:val="22"/>
        </w:rPr>
        <w:t xml:space="preserve"> – this can support </w:t>
      </w:r>
      <w:r w:rsidR="00741BD2" w:rsidRPr="00E708F7">
        <w:rPr>
          <w:rFonts w:ascii="Arial" w:hAnsi="Arial" w:cs="Arial"/>
          <w:sz w:val="22"/>
          <w:szCs w:val="22"/>
        </w:rPr>
        <w:t xml:space="preserve">trainee </w:t>
      </w:r>
      <w:proofErr w:type="gramStart"/>
      <w:r w:rsidR="00741BD2" w:rsidRPr="00E708F7">
        <w:rPr>
          <w:rFonts w:ascii="Arial" w:hAnsi="Arial" w:cs="Arial"/>
          <w:sz w:val="22"/>
          <w:szCs w:val="22"/>
        </w:rPr>
        <w:t>goal-setting</w:t>
      </w:r>
      <w:proofErr w:type="gramEnd"/>
      <w:r w:rsidR="00DC28EC" w:rsidRPr="00E708F7">
        <w:rPr>
          <w:rFonts w:ascii="Arial" w:hAnsi="Arial" w:cs="Arial"/>
          <w:sz w:val="22"/>
          <w:szCs w:val="22"/>
        </w:rPr>
        <w:t>,</w:t>
      </w:r>
      <w:r w:rsidR="00741BD2" w:rsidRPr="00E708F7">
        <w:rPr>
          <w:rFonts w:ascii="Arial" w:hAnsi="Arial" w:cs="Arial"/>
          <w:sz w:val="22"/>
          <w:szCs w:val="22"/>
        </w:rPr>
        <w:t xml:space="preserve"> career exploration and preparation</w:t>
      </w:r>
      <w:r w:rsidR="00DC28EC" w:rsidRPr="00E708F7">
        <w:rPr>
          <w:rFonts w:ascii="Arial" w:hAnsi="Arial" w:cs="Arial"/>
          <w:sz w:val="22"/>
          <w:szCs w:val="22"/>
        </w:rPr>
        <w:t>,</w:t>
      </w:r>
      <w:r w:rsidR="00741BD2" w:rsidRPr="00E708F7">
        <w:rPr>
          <w:rFonts w:ascii="Arial" w:hAnsi="Arial" w:cs="Arial"/>
          <w:sz w:val="22"/>
          <w:szCs w:val="22"/>
        </w:rPr>
        <w:t xml:space="preserve"> job material review</w:t>
      </w:r>
      <w:r w:rsidR="00DC28EC" w:rsidRPr="00E708F7">
        <w:rPr>
          <w:rFonts w:ascii="Arial" w:hAnsi="Arial" w:cs="Arial"/>
          <w:sz w:val="22"/>
          <w:szCs w:val="22"/>
        </w:rPr>
        <w:t>,</w:t>
      </w:r>
      <w:r w:rsidR="00741BD2" w:rsidRPr="00E708F7">
        <w:rPr>
          <w:rFonts w:ascii="Arial" w:hAnsi="Arial" w:cs="Arial"/>
          <w:sz w:val="22"/>
          <w:szCs w:val="22"/>
        </w:rPr>
        <w:t xml:space="preserve"> </w:t>
      </w:r>
      <w:r w:rsidR="00DC28EC" w:rsidRPr="00E708F7">
        <w:rPr>
          <w:rFonts w:ascii="Arial" w:hAnsi="Arial" w:cs="Arial"/>
          <w:sz w:val="22"/>
          <w:szCs w:val="22"/>
        </w:rPr>
        <w:t>and other individualized trainee coaching priorities.</w:t>
      </w:r>
    </w:p>
    <w:p w14:paraId="465875E6" w14:textId="073D495F" w:rsidR="0025131E" w:rsidRPr="00E708F7" w:rsidRDefault="00CB3989" w:rsidP="0025131E">
      <w:pPr>
        <w:pStyle w:val="ColorfulList-Accent11"/>
        <w:numPr>
          <w:ilvl w:val="0"/>
          <w:numId w:val="2"/>
        </w:numPr>
        <w:jc w:val="both"/>
        <w:rPr>
          <w:rFonts w:ascii="Arial" w:hAnsi="Arial" w:cs="Arial"/>
          <w:sz w:val="22"/>
          <w:szCs w:val="22"/>
        </w:rPr>
      </w:pPr>
      <w:r w:rsidRPr="00E708F7">
        <w:rPr>
          <w:rFonts w:ascii="Arial" w:hAnsi="Arial" w:cs="Arial"/>
          <w:sz w:val="22"/>
          <w:szCs w:val="22"/>
        </w:rPr>
        <w:t>TIBBS website content</w:t>
      </w:r>
      <w:r w:rsidR="0025131E" w:rsidRPr="00E708F7">
        <w:rPr>
          <w:rFonts w:ascii="Arial" w:hAnsi="Arial" w:cs="Arial"/>
          <w:sz w:val="22"/>
          <w:szCs w:val="22"/>
        </w:rPr>
        <w:t>, which includes</w:t>
      </w:r>
      <w:r w:rsidR="002A59F8" w:rsidRPr="00E708F7">
        <w:rPr>
          <w:rFonts w:ascii="Arial" w:hAnsi="Arial" w:cs="Arial"/>
          <w:sz w:val="22"/>
          <w:szCs w:val="22"/>
        </w:rPr>
        <w:t>:</w:t>
      </w:r>
      <w:r w:rsidR="0025131E" w:rsidRPr="00E708F7">
        <w:rPr>
          <w:rFonts w:ascii="Arial" w:hAnsi="Arial" w:cs="Arial"/>
          <w:sz w:val="22"/>
          <w:szCs w:val="22"/>
        </w:rPr>
        <w:t xml:space="preserve"> </w:t>
      </w:r>
    </w:p>
    <w:p w14:paraId="4AAFD52A" w14:textId="39070C36" w:rsidR="0025131E" w:rsidRPr="00E708F7" w:rsidRDefault="0025131E" w:rsidP="0025131E">
      <w:pPr>
        <w:pStyle w:val="ColorfulList-Accent11"/>
        <w:numPr>
          <w:ilvl w:val="1"/>
          <w:numId w:val="2"/>
        </w:numPr>
        <w:jc w:val="both"/>
        <w:rPr>
          <w:rFonts w:ascii="Arial" w:hAnsi="Arial" w:cs="Arial"/>
          <w:sz w:val="22"/>
          <w:szCs w:val="22"/>
        </w:rPr>
      </w:pPr>
      <w:r w:rsidRPr="00E708F7">
        <w:rPr>
          <w:rFonts w:ascii="Arial" w:hAnsi="Arial" w:cs="Arial"/>
          <w:sz w:val="22"/>
          <w:szCs w:val="22"/>
        </w:rPr>
        <w:t>A Career Center section with career white pages, CV/resume advice</w:t>
      </w:r>
      <w:r w:rsidR="005944C2" w:rsidRPr="00E708F7">
        <w:rPr>
          <w:rFonts w:ascii="Arial" w:hAnsi="Arial" w:cs="Arial"/>
          <w:sz w:val="22"/>
          <w:szCs w:val="22"/>
        </w:rPr>
        <w:t xml:space="preserve">, career trends, </w:t>
      </w:r>
      <w:r w:rsidR="00000F8A" w:rsidRPr="00E708F7">
        <w:rPr>
          <w:rFonts w:ascii="Arial" w:hAnsi="Arial" w:cs="Arial"/>
          <w:sz w:val="22"/>
          <w:szCs w:val="22"/>
        </w:rPr>
        <w:t xml:space="preserve">and </w:t>
      </w:r>
      <w:r w:rsidR="005944C2" w:rsidRPr="00E708F7">
        <w:rPr>
          <w:rFonts w:ascii="Arial" w:hAnsi="Arial" w:cs="Arial"/>
          <w:sz w:val="22"/>
          <w:szCs w:val="22"/>
        </w:rPr>
        <w:t>recorded content</w:t>
      </w:r>
      <w:r w:rsidR="00000F8A" w:rsidRPr="00E708F7">
        <w:rPr>
          <w:rFonts w:ascii="Arial" w:hAnsi="Arial" w:cs="Arial"/>
          <w:sz w:val="22"/>
          <w:szCs w:val="22"/>
        </w:rPr>
        <w:t xml:space="preserve"> from past career exploration </w:t>
      </w:r>
      <w:r w:rsidR="002E1B95" w:rsidRPr="00E708F7">
        <w:rPr>
          <w:rFonts w:ascii="Arial" w:hAnsi="Arial" w:cs="Arial"/>
          <w:sz w:val="22"/>
          <w:szCs w:val="22"/>
        </w:rPr>
        <w:t xml:space="preserve">events. </w:t>
      </w:r>
    </w:p>
    <w:p w14:paraId="56919994" w14:textId="034F9775" w:rsidR="0025131E" w:rsidRPr="00E708F7" w:rsidRDefault="00D82944" w:rsidP="0025131E">
      <w:pPr>
        <w:pStyle w:val="ColorfulList-Accent11"/>
        <w:numPr>
          <w:ilvl w:val="1"/>
          <w:numId w:val="2"/>
        </w:numPr>
        <w:jc w:val="both"/>
        <w:rPr>
          <w:rFonts w:ascii="Arial" w:hAnsi="Arial" w:cs="Arial"/>
          <w:sz w:val="22"/>
          <w:szCs w:val="22"/>
        </w:rPr>
      </w:pPr>
      <w:r w:rsidRPr="00E708F7">
        <w:rPr>
          <w:rFonts w:ascii="Arial" w:hAnsi="Arial" w:cs="Arial"/>
          <w:sz w:val="22"/>
          <w:szCs w:val="22"/>
        </w:rPr>
        <w:t>The TIBBS affiliated blog, the Pipette Pen, produced and edited by our trainee-led Science Writing and Communication Club</w:t>
      </w:r>
      <w:r w:rsidR="0025131E" w:rsidRPr="00E708F7">
        <w:rPr>
          <w:rFonts w:ascii="Arial" w:hAnsi="Arial" w:cs="Arial"/>
          <w:sz w:val="22"/>
          <w:szCs w:val="22"/>
        </w:rPr>
        <w:t xml:space="preserve"> </w:t>
      </w:r>
    </w:p>
    <w:p w14:paraId="2ABD9D21" w14:textId="77777777" w:rsidR="0025131E" w:rsidRPr="00E708F7" w:rsidRDefault="0025131E" w:rsidP="0025131E">
      <w:pPr>
        <w:pStyle w:val="ColorfulList-Accent11"/>
        <w:numPr>
          <w:ilvl w:val="1"/>
          <w:numId w:val="2"/>
        </w:numPr>
        <w:jc w:val="both"/>
        <w:rPr>
          <w:rFonts w:ascii="Arial" w:hAnsi="Arial" w:cs="Arial"/>
          <w:sz w:val="22"/>
          <w:szCs w:val="22"/>
        </w:rPr>
      </w:pPr>
      <w:r w:rsidRPr="00E708F7">
        <w:rPr>
          <w:rFonts w:ascii="Arial" w:hAnsi="Arial" w:cs="Arial"/>
          <w:sz w:val="22"/>
          <w:szCs w:val="22"/>
        </w:rPr>
        <w:t xml:space="preserve">A Resources section </w:t>
      </w:r>
      <w:r w:rsidR="00FC3CA1" w:rsidRPr="00E708F7">
        <w:rPr>
          <w:rFonts w:ascii="Arial" w:hAnsi="Arial" w:cs="Arial"/>
          <w:sz w:val="22"/>
          <w:szCs w:val="22"/>
        </w:rPr>
        <w:t xml:space="preserve">with successful examples of grants and other </w:t>
      </w:r>
      <w:r w:rsidRPr="00E708F7">
        <w:rPr>
          <w:rFonts w:ascii="Arial" w:hAnsi="Arial" w:cs="Arial"/>
          <w:sz w:val="22"/>
          <w:szCs w:val="22"/>
        </w:rPr>
        <w:t>relevant information for scientists-in-training</w:t>
      </w:r>
    </w:p>
    <w:p w14:paraId="4741D713" w14:textId="51B6A366" w:rsidR="00D82944" w:rsidRPr="00E708F7" w:rsidRDefault="0025131E" w:rsidP="00865C4E">
      <w:pPr>
        <w:pStyle w:val="ColorfulList-Accent11"/>
        <w:numPr>
          <w:ilvl w:val="0"/>
          <w:numId w:val="2"/>
        </w:numPr>
        <w:jc w:val="both"/>
        <w:rPr>
          <w:rFonts w:ascii="Arial" w:hAnsi="Arial" w:cs="Arial"/>
          <w:sz w:val="22"/>
          <w:szCs w:val="22"/>
        </w:rPr>
      </w:pPr>
      <w:r w:rsidRPr="00E708F7">
        <w:rPr>
          <w:rFonts w:ascii="Arial" w:hAnsi="Arial" w:cs="Arial"/>
          <w:sz w:val="22"/>
          <w:szCs w:val="22"/>
        </w:rPr>
        <w:t>Ample writing opportunities to help students gain exper</w:t>
      </w:r>
      <w:r w:rsidR="00D82944" w:rsidRPr="00E708F7">
        <w:rPr>
          <w:rFonts w:ascii="Arial" w:hAnsi="Arial" w:cs="Arial"/>
          <w:sz w:val="22"/>
          <w:szCs w:val="22"/>
        </w:rPr>
        <w:t>ience in written communication, including</w:t>
      </w:r>
      <w:r w:rsidRPr="00E708F7">
        <w:rPr>
          <w:rFonts w:ascii="Arial" w:hAnsi="Arial" w:cs="Arial"/>
          <w:sz w:val="22"/>
          <w:szCs w:val="22"/>
        </w:rPr>
        <w:t xml:space="preserve"> opportunities to contribut</w:t>
      </w:r>
      <w:r w:rsidR="002E1D89" w:rsidRPr="00E708F7">
        <w:rPr>
          <w:rFonts w:ascii="Arial" w:hAnsi="Arial" w:cs="Arial"/>
          <w:sz w:val="22"/>
          <w:szCs w:val="22"/>
        </w:rPr>
        <w:t xml:space="preserve">e to </w:t>
      </w:r>
      <w:r w:rsidRPr="00E708F7">
        <w:rPr>
          <w:rFonts w:ascii="Arial" w:hAnsi="Arial" w:cs="Arial"/>
          <w:sz w:val="22"/>
          <w:szCs w:val="22"/>
        </w:rPr>
        <w:t xml:space="preserve">the </w:t>
      </w:r>
      <w:r w:rsidR="00D82944" w:rsidRPr="00E708F7">
        <w:rPr>
          <w:rFonts w:ascii="Arial" w:hAnsi="Arial" w:cs="Arial"/>
          <w:sz w:val="22"/>
          <w:szCs w:val="22"/>
        </w:rPr>
        <w:t>Pipette Pen Blog</w:t>
      </w:r>
      <w:r w:rsidR="009E40EF">
        <w:rPr>
          <w:rFonts w:ascii="Arial" w:hAnsi="Arial" w:cs="Arial"/>
          <w:sz w:val="22"/>
          <w:szCs w:val="22"/>
        </w:rPr>
        <w:t>.</w:t>
      </w:r>
    </w:p>
    <w:p w14:paraId="43E4D6CF" w14:textId="77777777" w:rsidR="0025131E" w:rsidRPr="00E708F7" w:rsidRDefault="0025131E" w:rsidP="00865C4E">
      <w:pPr>
        <w:pStyle w:val="ColorfulList-Accent11"/>
        <w:numPr>
          <w:ilvl w:val="0"/>
          <w:numId w:val="2"/>
        </w:numPr>
        <w:jc w:val="both"/>
        <w:rPr>
          <w:rFonts w:ascii="Arial" w:hAnsi="Arial" w:cs="Arial"/>
          <w:sz w:val="22"/>
          <w:szCs w:val="22"/>
        </w:rPr>
      </w:pPr>
      <w:r w:rsidRPr="00E708F7">
        <w:rPr>
          <w:rFonts w:ascii="Arial" w:hAnsi="Arial" w:cs="Arial"/>
          <w:sz w:val="22"/>
          <w:szCs w:val="22"/>
        </w:rPr>
        <w:t xml:space="preserve">Regular communication of job openings, professional development events, and other opportunities through the TIBBS listserv, which reaches over 1000 graduate students, postdoctoral scholars, faculty, staff, and alumni. </w:t>
      </w:r>
    </w:p>
    <w:p w14:paraId="3D11940C" w14:textId="558006F2" w:rsidR="0025131E" w:rsidRPr="00E708F7" w:rsidRDefault="0025131E" w:rsidP="0025131E">
      <w:pPr>
        <w:pStyle w:val="ColorfulList-Accent11"/>
        <w:numPr>
          <w:ilvl w:val="0"/>
          <w:numId w:val="2"/>
        </w:numPr>
        <w:jc w:val="both"/>
        <w:rPr>
          <w:rFonts w:ascii="Arial" w:hAnsi="Arial" w:cs="Arial"/>
          <w:sz w:val="22"/>
          <w:szCs w:val="22"/>
        </w:rPr>
      </w:pPr>
      <w:r w:rsidRPr="00E708F7">
        <w:rPr>
          <w:rFonts w:ascii="Arial" w:hAnsi="Arial" w:cs="Arial"/>
          <w:sz w:val="22"/>
          <w:szCs w:val="22"/>
        </w:rPr>
        <w:t xml:space="preserve">The TIBBS Advisory </w:t>
      </w:r>
      <w:r w:rsidR="00E41F61" w:rsidRPr="00E708F7">
        <w:rPr>
          <w:rFonts w:ascii="Arial" w:hAnsi="Arial" w:cs="Arial"/>
          <w:sz w:val="22"/>
          <w:szCs w:val="22"/>
        </w:rPr>
        <w:t>Board</w:t>
      </w:r>
      <w:r w:rsidRPr="00E708F7">
        <w:rPr>
          <w:rFonts w:ascii="Arial" w:hAnsi="Arial" w:cs="Arial"/>
          <w:sz w:val="22"/>
          <w:szCs w:val="22"/>
        </w:rPr>
        <w:t>, whic</w:t>
      </w:r>
      <w:r w:rsidR="002E1D89" w:rsidRPr="00E708F7">
        <w:rPr>
          <w:rFonts w:ascii="Arial" w:hAnsi="Arial" w:cs="Arial"/>
          <w:sz w:val="22"/>
          <w:szCs w:val="22"/>
        </w:rPr>
        <w:t>h consists of graduate students and</w:t>
      </w:r>
      <w:r w:rsidR="0086415F" w:rsidRPr="00E708F7">
        <w:rPr>
          <w:rFonts w:ascii="Arial" w:hAnsi="Arial" w:cs="Arial"/>
          <w:sz w:val="22"/>
          <w:szCs w:val="22"/>
        </w:rPr>
        <w:t xml:space="preserve"> postdoctoral scholars </w:t>
      </w:r>
      <w:r w:rsidRPr="00E708F7">
        <w:rPr>
          <w:rFonts w:ascii="Arial" w:hAnsi="Arial" w:cs="Arial"/>
          <w:sz w:val="22"/>
          <w:szCs w:val="22"/>
        </w:rPr>
        <w:t xml:space="preserve">who work together to promote professional development among their peers and advise and assist with various TIBBS initiatives. </w:t>
      </w:r>
      <w:r w:rsidR="00E41F61" w:rsidRPr="00E708F7">
        <w:rPr>
          <w:rFonts w:ascii="Arial" w:hAnsi="Arial" w:cs="Arial"/>
          <w:sz w:val="22"/>
          <w:szCs w:val="22"/>
        </w:rPr>
        <w:t>Board members</w:t>
      </w:r>
      <w:r w:rsidRPr="00E708F7">
        <w:rPr>
          <w:rFonts w:ascii="Arial" w:hAnsi="Arial" w:cs="Arial"/>
          <w:sz w:val="22"/>
          <w:szCs w:val="22"/>
        </w:rPr>
        <w:t xml:space="preserve"> gain experience in committee work, leadership, program administration, and professionalism, and the tireless efforts of these individuals have been critical to our ability to expand and improve our TIBBS programming. </w:t>
      </w:r>
      <w:r w:rsidR="00B603EB" w:rsidRPr="00E708F7">
        <w:rPr>
          <w:rFonts w:ascii="Arial" w:hAnsi="Arial" w:cs="Arial"/>
          <w:sz w:val="22"/>
          <w:szCs w:val="22"/>
        </w:rPr>
        <w:t>An Experiential Leadership Certificate is available to student leaders who complete a year of club service and leadership training as part of their TIBBS Advisory Board participation.</w:t>
      </w:r>
    </w:p>
    <w:p w14:paraId="666969D2" w14:textId="77777777" w:rsidR="0025131E" w:rsidRPr="00E708F7" w:rsidRDefault="0025131E" w:rsidP="0025131E">
      <w:pPr>
        <w:jc w:val="both"/>
        <w:rPr>
          <w:rFonts w:ascii="Arial" w:hAnsi="Arial" w:cs="Arial"/>
          <w:i/>
          <w:sz w:val="22"/>
          <w:szCs w:val="22"/>
        </w:rPr>
      </w:pPr>
    </w:p>
    <w:p w14:paraId="5C1C98A0" w14:textId="0DB62E0A" w:rsidR="00F97EED" w:rsidRPr="00F97EED" w:rsidRDefault="008B7C21" w:rsidP="00F97EED">
      <w:pPr>
        <w:jc w:val="both"/>
        <w:rPr>
          <w:rFonts w:ascii="Arial" w:hAnsi="Arial" w:cs="Arial"/>
          <w:b/>
          <w:bCs/>
          <w:sz w:val="22"/>
          <w:szCs w:val="22"/>
        </w:rPr>
      </w:pPr>
      <w:r w:rsidRPr="00E708F7">
        <w:rPr>
          <w:rFonts w:ascii="Arial" w:hAnsi="Arial" w:cs="Arial"/>
          <w:b/>
          <w:i/>
          <w:sz w:val="22"/>
          <w:szCs w:val="22"/>
        </w:rPr>
        <w:t>TIBBS Staff.</w:t>
      </w:r>
      <w:r w:rsidRPr="00E708F7">
        <w:rPr>
          <w:rFonts w:ascii="Arial" w:hAnsi="Arial" w:cs="Arial"/>
          <w:i/>
          <w:sz w:val="22"/>
          <w:szCs w:val="22"/>
        </w:rPr>
        <w:t xml:space="preserve"> </w:t>
      </w:r>
      <w:r w:rsidRPr="00E708F7">
        <w:rPr>
          <w:rFonts w:ascii="Arial" w:hAnsi="Arial" w:cs="Arial"/>
          <w:sz w:val="22"/>
          <w:szCs w:val="22"/>
        </w:rPr>
        <w:t xml:space="preserve">As Director of </w:t>
      </w:r>
      <w:r w:rsidR="00E41F61" w:rsidRPr="00E708F7">
        <w:rPr>
          <w:rFonts w:ascii="Arial" w:hAnsi="Arial" w:cs="Arial"/>
          <w:sz w:val="22"/>
          <w:szCs w:val="22"/>
        </w:rPr>
        <w:t>Professional Development Programs</w:t>
      </w:r>
      <w:r w:rsidRPr="00E708F7">
        <w:rPr>
          <w:rFonts w:ascii="Arial" w:hAnsi="Arial" w:cs="Arial"/>
          <w:sz w:val="22"/>
          <w:szCs w:val="22"/>
        </w:rPr>
        <w:t xml:space="preserve">, Dr. </w:t>
      </w:r>
      <w:r w:rsidR="00544931" w:rsidRPr="00E708F7">
        <w:rPr>
          <w:rFonts w:ascii="Arial" w:hAnsi="Arial" w:cs="Arial"/>
          <w:sz w:val="22"/>
          <w:szCs w:val="22"/>
        </w:rPr>
        <w:t>Reb</w:t>
      </w:r>
      <w:r w:rsidR="0086415F" w:rsidRPr="00E708F7">
        <w:rPr>
          <w:rFonts w:ascii="Arial" w:hAnsi="Arial" w:cs="Arial"/>
          <w:sz w:val="22"/>
          <w:szCs w:val="22"/>
        </w:rPr>
        <w:t>eka</w:t>
      </w:r>
      <w:r w:rsidR="00544931" w:rsidRPr="00E708F7">
        <w:rPr>
          <w:rFonts w:ascii="Arial" w:hAnsi="Arial" w:cs="Arial"/>
          <w:sz w:val="22"/>
          <w:szCs w:val="22"/>
        </w:rPr>
        <w:t>h</w:t>
      </w:r>
      <w:r w:rsidR="0086415F" w:rsidRPr="00E708F7">
        <w:rPr>
          <w:rFonts w:ascii="Arial" w:hAnsi="Arial" w:cs="Arial"/>
          <w:sz w:val="22"/>
          <w:szCs w:val="22"/>
        </w:rPr>
        <w:t xml:space="preserve"> Layton</w:t>
      </w:r>
      <w:r w:rsidR="006213D7" w:rsidRPr="00E708F7">
        <w:rPr>
          <w:rFonts w:ascii="Arial" w:hAnsi="Arial" w:cs="Arial"/>
          <w:sz w:val="22"/>
          <w:szCs w:val="22"/>
        </w:rPr>
        <w:t xml:space="preserve"> is a trained Professional Certified Coach (PCC) and Certified Mentor Coach (CMC). Dr. Layton </w:t>
      </w:r>
      <w:r w:rsidRPr="00E708F7">
        <w:rPr>
          <w:rFonts w:ascii="Arial" w:hAnsi="Arial" w:cs="Arial"/>
          <w:sz w:val="22"/>
          <w:szCs w:val="22"/>
        </w:rPr>
        <w:t xml:space="preserve">provides career awareness and professional development workshops, networking opportunities, small group career exploration sessions, and one-on-one career coaching for biomedical graduate students and postdoctoral scholars. She also provides support during the job search and application process, including CV and resume reviews and consultations on job application materials. </w:t>
      </w:r>
      <w:r w:rsidR="00E07FEB" w:rsidRPr="00E708F7">
        <w:rPr>
          <w:rFonts w:ascii="Arial" w:hAnsi="Arial" w:cs="Arial"/>
          <w:sz w:val="22"/>
          <w:szCs w:val="22"/>
        </w:rPr>
        <w:t xml:space="preserve">She is also the </w:t>
      </w:r>
      <w:r w:rsidR="00BB34F3" w:rsidRPr="00E708F7">
        <w:rPr>
          <w:rFonts w:ascii="Arial" w:hAnsi="Arial" w:cs="Arial"/>
          <w:sz w:val="22"/>
          <w:szCs w:val="22"/>
        </w:rPr>
        <w:t>Co-Director</w:t>
      </w:r>
      <w:r w:rsidR="00E07FEB" w:rsidRPr="00E708F7">
        <w:rPr>
          <w:rFonts w:ascii="Arial" w:hAnsi="Arial" w:cs="Arial"/>
          <w:sz w:val="22"/>
          <w:szCs w:val="22"/>
        </w:rPr>
        <w:t xml:space="preserve"> for the Certificate in College Science Teaching Program.</w:t>
      </w:r>
      <w:r w:rsidR="009E40EF">
        <w:rPr>
          <w:rFonts w:ascii="Arial" w:hAnsi="Arial" w:cs="Arial"/>
          <w:sz w:val="22"/>
          <w:szCs w:val="22"/>
        </w:rPr>
        <w:t xml:space="preserve"> She serves as the PI on the SCISIPBIO R01 award </w:t>
      </w:r>
      <w:r w:rsidR="00F97EED">
        <w:rPr>
          <w:rFonts w:ascii="Arial" w:hAnsi="Arial" w:cs="Arial"/>
          <w:sz w:val="22"/>
          <w:szCs w:val="22"/>
        </w:rPr>
        <w:t xml:space="preserve">as a part of </w:t>
      </w:r>
      <w:r w:rsidR="0087022B">
        <w:rPr>
          <w:rFonts w:ascii="Arial" w:hAnsi="Arial" w:cs="Arial"/>
          <w:sz w:val="22"/>
          <w:szCs w:val="22"/>
        </w:rPr>
        <w:t xml:space="preserve">systemic exploration of best practices in </w:t>
      </w:r>
      <w:r w:rsidR="006065D0">
        <w:rPr>
          <w:rFonts w:ascii="Arial" w:hAnsi="Arial" w:cs="Arial"/>
          <w:sz w:val="22"/>
          <w:szCs w:val="22"/>
        </w:rPr>
        <w:t>biomedical graduate education, training, and workforce development</w:t>
      </w:r>
      <w:r w:rsidR="00F97EED">
        <w:rPr>
          <w:rFonts w:ascii="Arial" w:hAnsi="Arial" w:cs="Arial"/>
          <w:sz w:val="22"/>
          <w:szCs w:val="22"/>
        </w:rPr>
        <w:t xml:space="preserve"> </w:t>
      </w:r>
      <w:r w:rsidR="00EE4353">
        <w:rPr>
          <w:rFonts w:ascii="Arial" w:hAnsi="Arial" w:cs="Arial"/>
          <w:sz w:val="22"/>
          <w:szCs w:val="22"/>
        </w:rPr>
        <w:t>and directs research in</w:t>
      </w:r>
      <w:r w:rsidR="00F97EED">
        <w:rPr>
          <w:rFonts w:ascii="Arial" w:hAnsi="Arial" w:cs="Arial"/>
          <w:sz w:val="22"/>
          <w:szCs w:val="22"/>
        </w:rPr>
        <w:t xml:space="preserve"> </w:t>
      </w:r>
      <w:r w:rsidR="0087022B">
        <w:rPr>
          <w:rFonts w:ascii="Arial" w:hAnsi="Arial" w:cs="Arial"/>
          <w:sz w:val="22"/>
          <w:szCs w:val="22"/>
        </w:rPr>
        <w:t>the</w:t>
      </w:r>
      <w:r w:rsidR="00F97EED">
        <w:rPr>
          <w:rFonts w:ascii="Arial" w:hAnsi="Arial" w:cs="Arial"/>
          <w:sz w:val="22"/>
          <w:szCs w:val="22"/>
        </w:rPr>
        <w:t xml:space="preserve"> </w:t>
      </w:r>
      <w:r w:rsidR="00F97EED" w:rsidRPr="00F97EED">
        <w:rPr>
          <w:rFonts w:ascii="Arial" w:hAnsi="Arial" w:cs="Arial"/>
          <w:sz w:val="22"/>
          <w:szCs w:val="22"/>
        </w:rPr>
        <w:t>PhD Integrated Research on Education and Career Training Lab</w:t>
      </w:r>
      <w:r w:rsidR="0087022B">
        <w:rPr>
          <w:rFonts w:ascii="Arial" w:hAnsi="Arial" w:cs="Arial"/>
          <w:sz w:val="22"/>
          <w:szCs w:val="22"/>
        </w:rPr>
        <w:t xml:space="preserve"> (</w:t>
      </w:r>
      <w:proofErr w:type="spellStart"/>
      <w:r w:rsidR="0087022B">
        <w:rPr>
          <w:rFonts w:ascii="Arial" w:hAnsi="Arial" w:cs="Arial"/>
          <w:sz w:val="22"/>
          <w:szCs w:val="22"/>
        </w:rPr>
        <w:t>PhDIRECT</w:t>
      </w:r>
      <w:proofErr w:type="spellEnd"/>
      <w:r w:rsidR="0087022B">
        <w:rPr>
          <w:rFonts w:ascii="Arial" w:hAnsi="Arial" w:cs="Arial"/>
          <w:sz w:val="22"/>
          <w:szCs w:val="22"/>
        </w:rPr>
        <w:t xml:space="preserve"> Lab)</w:t>
      </w:r>
      <w:r w:rsidR="00EE4353">
        <w:rPr>
          <w:rFonts w:ascii="Arial" w:hAnsi="Arial" w:cs="Arial"/>
          <w:sz w:val="22"/>
          <w:szCs w:val="22"/>
        </w:rPr>
        <w:t xml:space="preserve">. </w:t>
      </w:r>
      <w:r w:rsidR="000210BA">
        <w:rPr>
          <w:rFonts w:ascii="Arial" w:hAnsi="Arial" w:cs="Arial"/>
          <w:sz w:val="22"/>
          <w:szCs w:val="22"/>
        </w:rPr>
        <w:t xml:space="preserve">She is a published author on more than a dozen empirical articles on graduate career education and training and a contributor to Inside Higher Education’s Carpe Careers advice column for </w:t>
      </w:r>
      <w:r w:rsidR="00715F5D">
        <w:rPr>
          <w:rFonts w:ascii="Arial" w:hAnsi="Arial" w:cs="Arial"/>
          <w:sz w:val="22"/>
          <w:szCs w:val="22"/>
        </w:rPr>
        <w:t>trainees.</w:t>
      </w:r>
      <w:r w:rsidR="0011330A">
        <w:rPr>
          <w:rFonts w:ascii="Arial" w:hAnsi="Arial" w:cs="Arial"/>
          <w:sz w:val="22"/>
          <w:szCs w:val="22"/>
        </w:rPr>
        <w:t xml:space="preserve"> She had been awarded the Academy of Educators Scholarship Award (2023)</w:t>
      </w:r>
      <w:r w:rsidR="004C4290">
        <w:rPr>
          <w:rFonts w:ascii="Arial" w:hAnsi="Arial" w:cs="Arial"/>
          <w:sz w:val="22"/>
          <w:szCs w:val="22"/>
        </w:rPr>
        <w:t xml:space="preserve"> and the </w:t>
      </w:r>
      <w:r w:rsidR="004C4290" w:rsidRPr="004C4290">
        <w:rPr>
          <w:rFonts w:ascii="Arial" w:hAnsi="Arial" w:cs="Arial"/>
          <w:sz w:val="22"/>
          <w:szCs w:val="22"/>
        </w:rPr>
        <w:t>Gwendolyn Harrison Smith Honorary Community Award</w:t>
      </w:r>
      <w:r w:rsidR="004C4290">
        <w:rPr>
          <w:rFonts w:ascii="Arial" w:hAnsi="Arial" w:cs="Arial"/>
          <w:sz w:val="22"/>
          <w:szCs w:val="22"/>
        </w:rPr>
        <w:t>, UNC GPSG (2021</w:t>
      </w:r>
      <w:r w:rsidR="0011330A">
        <w:rPr>
          <w:rFonts w:ascii="Arial" w:hAnsi="Arial" w:cs="Arial"/>
          <w:sz w:val="22"/>
          <w:szCs w:val="22"/>
        </w:rPr>
        <w:t>).</w:t>
      </w:r>
    </w:p>
    <w:p w14:paraId="750D98D8" w14:textId="501819C0" w:rsidR="008B7C21" w:rsidRPr="00E708F7" w:rsidRDefault="008B7C21" w:rsidP="008B7C21">
      <w:pPr>
        <w:jc w:val="both"/>
        <w:rPr>
          <w:rFonts w:ascii="Arial" w:hAnsi="Arial" w:cs="Arial"/>
          <w:b/>
          <w:sz w:val="22"/>
          <w:szCs w:val="22"/>
        </w:rPr>
      </w:pPr>
    </w:p>
    <w:p w14:paraId="25AD8477" w14:textId="77777777" w:rsidR="00F85775" w:rsidRPr="00E708F7" w:rsidRDefault="00F85775" w:rsidP="008B7C21">
      <w:pPr>
        <w:jc w:val="both"/>
        <w:rPr>
          <w:rFonts w:ascii="Arial" w:hAnsi="Arial" w:cs="Arial"/>
          <w:sz w:val="22"/>
          <w:szCs w:val="22"/>
        </w:rPr>
      </w:pPr>
    </w:p>
    <w:p w14:paraId="0CBF9596" w14:textId="51599AAB" w:rsidR="008B7C21" w:rsidRPr="00E708F7" w:rsidRDefault="008B7C21" w:rsidP="0025131E">
      <w:pPr>
        <w:jc w:val="both"/>
        <w:rPr>
          <w:rFonts w:ascii="Arial" w:hAnsi="Arial" w:cs="Arial"/>
          <w:sz w:val="22"/>
          <w:szCs w:val="22"/>
        </w:rPr>
      </w:pPr>
      <w:r w:rsidRPr="00E708F7">
        <w:rPr>
          <w:rFonts w:ascii="Arial" w:hAnsi="Arial" w:cs="Arial"/>
          <w:sz w:val="22"/>
          <w:szCs w:val="22"/>
        </w:rPr>
        <w:t xml:space="preserve">Dr. Patrick Brandt, Director of </w:t>
      </w:r>
      <w:r w:rsidR="0086415F" w:rsidRPr="00E708F7">
        <w:rPr>
          <w:rFonts w:ascii="Arial" w:hAnsi="Arial" w:cs="Arial"/>
          <w:sz w:val="22"/>
          <w:szCs w:val="22"/>
        </w:rPr>
        <w:t xml:space="preserve">Career Development and </w:t>
      </w:r>
      <w:r w:rsidR="00E41F61" w:rsidRPr="00E708F7">
        <w:rPr>
          <w:rFonts w:ascii="Arial" w:hAnsi="Arial" w:cs="Arial"/>
          <w:sz w:val="22"/>
          <w:szCs w:val="22"/>
        </w:rPr>
        <w:t>Outreach</w:t>
      </w:r>
      <w:r w:rsidR="00F85775" w:rsidRPr="00E708F7">
        <w:rPr>
          <w:rFonts w:ascii="Arial" w:hAnsi="Arial" w:cs="Arial"/>
          <w:sz w:val="22"/>
          <w:szCs w:val="22"/>
        </w:rPr>
        <w:t xml:space="preserve">, </w:t>
      </w:r>
      <w:r w:rsidRPr="00E708F7">
        <w:rPr>
          <w:rFonts w:ascii="Arial" w:hAnsi="Arial" w:cs="Arial"/>
          <w:sz w:val="22"/>
          <w:szCs w:val="22"/>
        </w:rPr>
        <w:t xml:space="preserve">directs </w:t>
      </w:r>
      <w:r w:rsidR="00F85775" w:rsidRPr="00E708F7">
        <w:rPr>
          <w:rFonts w:ascii="Arial" w:hAnsi="Arial" w:cs="Arial"/>
          <w:sz w:val="22"/>
          <w:szCs w:val="22"/>
        </w:rPr>
        <w:t xml:space="preserve">the </w:t>
      </w:r>
      <w:proofErr w:type="spellStart"/>
      <w:r w:rsidR="00F85775" w:rsidRPr="00E708F7">
        <w:rPr>
          <w:rFonts w:ascii="Arial" w:hAnsi="Arial" w:cs="Arial"/>
          <w:sz w:val="22"/>
          <w:szCs w:val="22"/>
        </w:rPr>
        <w:t>ImPACT</w:t>
      </w:r>
      <w:proofErr w:type="spellEnd"/>
      <w:r w:rsidR="00F85775" w:rsidRPr="00E708F7">
        <w:rPr>
          <w:rFonts w:ascii="Arial" w:hAnsi="Arial" w:cs="Arial"/>
          <w:sz w:val="22"/>
          <w:szCs w:val="22"/>
        </w:rPr>
        <w:t xml:space="preserve"> internship program and </w:t>
      </w:r>
      <w:r w:rsidR="00C81D87" w:rsidRPr="00E708F7">
        <w:rPr>
          <w:rFonts w:ascii="Arial" w:hAnsi="Arial" w:cs="Arial"/>
          <w:sz w:val="22"/>
          <w:szCs w:val="22"/>
        </w:rPr>
        <w:t>the T32</w:t>
      </w:r>
      <w:r w:rsidR="00A20852" w:rsidRPr="00E708F7">
        <w:rPr>
          <w:rFonts w:ascii="Arial" w:hAnsi="Arial" w:cs="Arial"/>
          <w:sz w:val="22"/>
          <w:szCs w:val="22"/>
        </w:rPr>
        <w:t>-</w:t>
      </w:r>
      <w:r w:rsidR="000E43FE" w:rsidRPr="00E708F7">
        <w:rPr>
          <w:rFonts w:ascii="Arial" w:hAnsi="Arial" w:cs="Arial"/>
          <w:sz w:val="22"/>
          <w:szCs w:val="22"/>
        </w:rPr>
        <w:t xml:space="preserve">funded </w:t>
      </w:r>
      <w:r w:rsidR="00F85775" w:rsidRPr="00E708F7">
        <w:rPr>
          <w:rFonts w:ascii="Arial" w:hAnsi="Arial" w:cs="Arial"/>
          <w:sz w:val="22"/>
          <w:szCs w:val="22"/>
        </w:rPr>
        <w:t>Certificate Program in Translational Medicine.</w:t>
      </w:r>
      <w:r w:rsidR="00241D8B" w:rsidRPr="00E708F7">
        <w:rPr>
          <w:rFonts w:ascii="Arial" w:hAnsi="Arial" w:cs="Arial"/>
          <w:sz w:val="22"/>
          <w:szCs w:val="22"/>
        </w:rPr>
        <w:t xml:space="preserve"> </w:t>
      </w:r>
      <w:r w:rsidR="00F85775" w:rsidRPr="00E708F7">
        <w:rPr>
          <w:rFonts w:ascii="Arial" w:hAnsi="Arial" w:cs="Arial"/>
          <w:sz w:val="22"/>
          <w:szCs w:val="22"/>
        </w:rPr>
        <w:t>He is a frequent presenter at TIBBS IDP workshops and grant writing workshops. He has helped hundreds of trainees</w:t>
      </w:r>
      <w:r w:rsidRPr="00E708F7">
        <w:rPr>
          <w:rFonts w:ascii="Arial" w:hAnsi="Arial" w:cs="Arial"/>
          <w:sz w:val="22"/>
          <w:szCs w:val="22"/>
        </w:rPr>
        <w:t xml:space="preserve"> </w:t>
      </w:r>
      <w:r w:rsidR="00F85775" w:rsidRPr="00E708F7">
        <w:rPr>
          <w:rFonts w:ascii="Arial" w:hAnsi="Arial" w:cs="Arial"/>
          <w:sz w:val="22"/>
          <w:szCs w:val="22"/>
        </w:rPr>
        <w:t>develop</w:t>
      </w:r>
      <w:r w:rsidRPr="00E708F7">
        <w:rPr>
          <w:rFonts w:ascii="Arial" w:hAnsi="Arial" w:cs="Arial"/>
          <w:sz w:val="22"/>
          <w:szCs w:val="22"/>
        </w:rPr>
        <w:t xml:space="preserve"> non-bench competencies, </w:t>
      </w:r>
      <w:r w:rsidR="00F85775" w:rsidRPr="00E708F7">
        <w:rPr>
          <w:rFonts w:ascii="Arial" w:hAnsi="Arial" w:cs="Arial"/>
          <w:sz w:val="22"/>
          <w:szCs w:val="22"/>
        </w:rPr>
        <w:t>has assisted</w:t>
      </w:r>
      <w:r w:rsidRPr="00E708F7">
        <w:rPr>
          <w:rFonts w:ascii="Arial" w:hAnsi="Arial" w:cs="Arial"/>
          <w:sz w:val="22"/>
          <w:szCs w:val="22"/>
        </w:rPr>
        <w:t xml:space="preserve"> students as they proactively investigate career options, and </w:t>
      </w:r>
      <w:r w:rsidR="00F85775" w:rsidRPr="00E708F7">
        <w:rPr>
          <w:rFonts w:ascii="Arial" w:hAnsi="Arial" w:cs="Arial"/>
          <w:sz w:val="22"/>
          <w:szCs w:val="22"/>
        </w:rPr>
        <w:t>he advocates for</w:t>
      </w:r>
      <w:r w:rsidRPr="00E708F7">
        <w:rPr>
          <w:rFonts w:ascii="Arial" w:hAnsi="Arial" w:cs="Arial"/>
          <w:sz w:val="22"/>
          <w:szCs w:val="22"/>
        </w:rPr>
        <w:t xml:space="preserve"> the career success of our PhD graduates in whatever path they choose to follow. </w:t>
      </w:r>
      <w:r w:rsidR="002B667E" w:rsidRPr="00E708F7">
        <w:rPr>
          <w:rFonts w:ascii="Arial" w:hAnsi="Arial" w:cs="Arial"/>
          <w:sz w:val="22"/>
          <w:szCs w:val="22"/>
        </w:rPr>
        <w:t xml:space="preserve">He serves on the </w:t>
      </w:r>
      <w:r w:rsidR="002A49FD" w:rsidRPr="00E708F7">
        <w:rPr>
          <w:rFonts w:ascii="Arial" w:hAnsi="Arial" w:cs="Arial"/>
          <w:sz w:val="22"/>
          <w:szCs w:val="22"/>
        </w:rPr>
        <w:t xml:space="preserve">Steering Committee for the American Association of Medical Colleges </w:t>
      </w:r>
      <w:r w:rsidR="002C7D5B" w:rsidRPr="00E708F7">
        <w:rPr>
          <w:rFonts w:ascii="Arial" w:hAnsi="Arial" w:cs="Arial"/>
          <w:sz w:val="22"/>
          <w:szCs w:val="22"/>
        </w:rPr>
        <w:t xml:space="preserve">(AAMC) Graduate Research Education and Training (GREAT) group and an author on numerous </w:t>
      </w:r>
      <w:r w:rsidR="00406606" w:rsidRPr="00E708F7">
        <w:rPr>
          <w:rFonts w:ascii="Arial" w:hAnsi="Arial" w:cs="Arial"/>
          <w:sz w:val="22"/>
          <w:szCs w:val="22"/>
        </w:rPr>
        <w:t xml:space="preserve">peer reviewed studies related to best practices in graduate student professional development. </w:t>
      </w:r>
    </w:p>
    <w:p w14:paraId="2CDA527E" w14:textId="77777777" w:rsidR="00E232FB" w:rsidRPr="00E708F7" w:rsidRDefault="00E232FB" w:rsidP="0025131E">
      <w:pPr>
        <w:jc w:val="both"/>
        <w:rPr>
          <w:rFonts w:ascii="Arial" w:hAnsi="Arial" w:cs="Arial"/>
          <w:sz w:val="22"/>
          <w:szCs w:val="22"/>
        </w:rPr>
      </w:pPr>
    </w:p>
    <w:p w14:paraId="4E9B6BB0" w14:textId="0FF450E1" w:rsidR="002F43F5" w:rsidRPr="00E708F7" w:rsidRDefault="00E232FB" w:rsidP="00E232FB">
      <w:pPr>
        <w:jc w:val="both"/>
        <w:rPr>
          <w:rFonts w:ascii="Arial" w:hAnsi="Arial" w:cs="Arial"/>
          <w:sz w:val="22"/>
          <w:szCs w:val="22"/>
        </w:rPr>
      </w:pPr>
      <w:r w:rsidRPr="00E708F7">
        <w:rPr>
          <w:rFonts w:ascii="Arial" w:hAnsi="Arial" w:cs="Arial"/>
          <w:sz w:val="22"/>
          <w:szCs w:val="22"/>
        </w:rPr>
        <w:t>TIBBS staff are members of the Gradua</w:t>
      </w:r>
      <w:r w:rsidR="009F073E" w:rsidRPr="00E708F7">
        <w:rPr>
          <w:rFonts w:ascii="Arial" w:hAnsi="Arial" w:cs="Arial"/>
          <w:sz w:val="22"/>
          <w:szCs w:val="22"/>
        </w:rPr>
        <w:t>te Career Consortium</w:t>
      </w:r>
      <w:r w:rsidR="00D87995" w:rsidRPr="00E708F7">
        <w:rPr>
          <w:rFonts w:ascii="Arial" w:hAnsi="Arial" w:cs="Arial"/>
          <w:sz w:val="22"/>
          <w:szCs w:val="22"/>
        </w:rPr>
        <w:t xml:space="preserve"> (GCC)</w:t>
      </w:r>
      <w:r w:rsidR="009F073E" w:rsidRPr="00E708F7">
        <w:rPr>
          <w:rFonts w:ascii="Arial" w:hAnsi="Arial" w:cs="Arial"/>
          <w:sz w:val="22"/>
          <w:szCs w:val="22"/>
        </w:rPr>
        <w:t xml:space="preserve">, </w:t>
      </w:r>
      <w:r w:rsidRPr="00E708F7">
        <w:rPr>
          <w:rFonts w:ascii="Arial" w:hAnsi="Arial" w:cs="Arial"/>
          <w:sz w:val="22"/>
          <w:szCs w:val="22"/>
        </w:rPr>
        <w:t>the</w:t>
      </w:r>
      <w:r w:rsidR="00D87995" w:rsidRPr="00E708F7">
        <w:rPr>
          <w:rFonts w:ascii="Arial" w:hAnsi="Arial" w:cs="Arial"/>
          <w:sz w:val="22"/>
          <w:szCs w:val="22"/>
        </w:rPr>
        <w:t xml:space="preserve"> </w:t>
      </w:r>
      <w:r w:rsidRPr="00E708F7">
        <w:rPr>
          <w:rFonts w:ascii="Arial" w:hAnsi="Arial" w:cs="Arial"/>
          <w:sz w:val="22"/>
          <w:szCs w:val="22"/>
        </w:rPr>
        <w:t>AAMC Graduate Research Education and Training (GREAT) group</w:t>
      </w:r>
      <w:r w:rsidR="009F073E" w:rsidRPr="00E708F7">
        <w:rPr>
          <w:rFonts w:ascii="Arial" w:hAnsi="Arial" w:cs="Arial"/>
          <w:sz w:val="22"/>
          <w:szCs w:val="22"/>
        </w:rPr>
        <w:t>, and Broadening Experiences in Scientific Training (BEST) Consortium</w:t>
      </w:r>
      <w:r w:rsidRPr="00E708F7">
        <w:rPr>
          <w:rFonts w:ascii="Arial" w:hAnsi="Arial" w:cs="Arial"/>
          <w:sz w:val="22"/>
          <w:szCs w:val="22"/>
        </w:rPr>
        <w:t xml:space="preserve">. They contribute to the national dialog surrounding the future of the biomedical workforce.  Dr. </w:t>
      </w:r>
      <w:r w:rsidR="0086415F" w:rsidRPr="00E708F7">
        <w:rPr>
          <w:rFonts w:ascii="Arial" w:hAnsi="Arial" w:cs="Arial"/>
          <w:sz w:val="22"/>
          <w:szCs w:val="22"/>
        </w:rPr>
        <w:t>Layton</w:t>
      </w:r>
      <w:r w:rsidRPr="00E708F7">
        <w:rPr>
          <w:rFonts w:ascii="Arial" w:hAnsi="Arial" w:cs="Arial"/>
          <w:sz w:val="22"/>
          <w:szCs w:val="22"/>
        </w:rPr>
        <w:t xml:space="preserve"> and Dr. Brandt are trained in internal program evaluation and TIBBS programming is evaluated continuously to ensure that students’ career and professional needs are met. </w:t>
      </w:r>
      <w:r w:rsidR="00DD1040" w:rsidRPr="00E708F7">
        <w:rPr>
          <w:rFonts w:ascii="Arial" w:hAnsi="Arial" w:cs="Arial"/>
          <w:sz w:val="22"/>
          <w:szCs w:val="22"/>
        </w:rPr>
        <w:t xml:space="preserve">Dr. Layton also provides program evaluation support to affiliated BBSP Training </w:t>
      </w:r>
      <w:proofErr w:type="gramStart"/>
      <w:r w:rsidR="00DD1040" w:rsidRPr="00E708F7">
        <w:rPr>
          <w:rFonts w:ascii="Arial" w:hAnsi="Arial" w:cs="Arial"/>
          <w:sz w:val="22"/>
          <w:szCs w:val="22"/>
        </w:rPr>
        <w:t>Programs, and</w:t>
      </w:r>
      <w:proofErr w:type="gramEnd"/>
      <w:r w:rsidR="00DD1040" w:rsidRPr="00E708F7">
        <w:rPr>
          <w:rFonts w:ascii="Arial" w:hAnsi="Arial" w:cs="Arial"/>
          <w:sz w:val="22"/>
          <w:szCs w:val="22"/>
        </w:rPr>
        <w:t xml:space="preserve"> assists Program Directors in creating and adjusting evaluation plans, as well as analyzing and interpreting data/responses. </w:t>
      </w:r>
      <w:r w:rsidR="003C0B2B" w:rsidRPr="00E708F7">
        <w:rPr>
          <w:rFonts w:ascii="Arial" w:hAnsi="Arial" w:cs="Arial"/>
          <w:sz w:val="22"/>
          <w:szCs w:val="22"/>
        </w:rPr>
        <w:t xml:space="preserve">A joint program evaluation </w:t>
      </w:r>
      <w:r w:rsidR="00627193" w:rsidRPr="00E708F7">
        <w:rPr>
          <w:rFonts w:ascii="Arial" w:hAnsi="Arial" w:cs="Arial"/>
          <w:sz w:val="22"/>
          <w:szCs w:val="22"/>
        </w:rPr>
        <w:t>resources were developed</w:t>
      </w:r>
      <w:r w:rsidR="003C0B2B" w:rsidRPr="00E708F7">
        <w:rPr>
          <w:rFonts w:ascii="Arial" w:hAnsi="Arial" w:cs="Arial"/>
          <w:sz w:val="22"/>
          <w:szCs w:val="22"/>
        </w:rPr>
        <w:t xml:space="preserve"> across campus T32s and R25s </w:t>
      </w:r>
      <w:r w:rsidR="00627193" w:rsidRPr="00E708F7">
        <w:rPr>
          <w:rFonts w:ascii="Arial" w:hAnsi="Arial" w:cs="Arial"/>
          <w:sz w:val="22"/>
          <w:szCs w:val="22"/>
        </w:rPr>
        <w:t>as part of a</w:t>
      </w:r>
      <w:r w:rsidR="003C0B2B" w:rsidRPr="00E708F7">
        <w:rPr>
          <w:rFonts w:ascii="Arial" w:hAnsi="Arial" w:cs="Arial"/>
          <w:sz w:val="22"/>
          <w:szCs w:val="22"/>
        </w:rPr>
        <w:t xml:space="preserve"> funded- NIGMS Program Evaluation Supplement </w:t>
      </w:r>
      <w:r w:rsidR="00627193" w:rsidRPr="00E708F7">
        <w:rPr>
          <w:rFonts w:ascii="Arial" w:hAnsi="Arial" w:cs="Arial"/>
          <w:sz w:val="22"/>
          <w:szCs w:val="22"/>
        </w:rPr>
        <w:t>(</w:t>
      </w:r>
      <w:r w:rsidR="009F06F0" w:rsidRPr="00E708F7">
        <w:rPr>
          <w:rFonts w:ascii="Arial" w:hAnsi="Arial" w:cs="Arial"/>
          <w:sz w:val="22"/>
          <w:szCs w:val="22"/>
        </w:rPr>
        <w:t xml:space="preserve">Developing evidence-based resources for evaluating postgraduate trainees in the biomedical sciences; </w:t>
      </w:r>
      <w:r w:rsidR="00A07D4D" w:rsidRPr="00E708F7">
        <w:rPr>
          <w:rFonts w:ascii="Arial" w:hAnsi="Arial" w:cs="Arial"/>
          <w:sz w:val="22"/>
          <w:szCs w:val="22"/>
        </w:rPr>
        <w:t>McLaughlin</w:t>
      </w:r>
      <w:r w:rsidR="009F06F0" w:rsidRPr="00E708F7">
        <w:rPr>
          <w:rFonts w:ascii="Arial" w:hAnsi="Arial" w:cs="Arial"/>
          <w:sz w:val="22"/>
          <w:szCs w:val="22"/>
        </w:rPr>
        <w:t xml:space="preserve"> et al, 2023, </w:t>
      </w:r>
      <w:r w:rsidR="00627193" w:rsidRPr="00E708F7">
        <w:rPr>
          <w:rFonts w:ascii="Arial" w:hAnsi="Arial" w:cs="Arial"/>
          <w:sz w:val="22"/>
          <w:szCs w:val="22"/>
        </w:rPr>
        <w:t>PLOS ONE).</w:t>
      </w:r>
    </w:p>
    <w:p w14:paraId="3B7F1674" w14:textId="77777777" w:rsidR="00DD1040" w:rsidRPr="00E708F7" w:rsidRDefault="00DD1040" w:rsidP="00E232FB">
      <w:pPr>
        <w:jc w:val="both"/>
        <w:rPr>
          <w:rFonts w:ascii="Arial" w:hAnsi="Arial" w:cs="Arial"/>
          <w:sz w:val="22"/>
          <w:szCs w:val="22"/>
        </w:rPr>
      </w:pPr>
    </w:p>
    <w:p w14:paraId="158D3FFA" w14:textId="68B8CC7A" w:rsidR="002F43F5" w:rsidRPr="00E708F7" w:rsidRDefault="002F43F5" w:rsidP="00E232FB">
      <w:pPr>
        <w:jc w:val="both"/>
        <w:rPr>
          <w:rFonts w:ascii="Arial" w:hAnsi="Arial" w:cs="Arial"/>
          <w:sz w:val="22"/>
          <w:szCs w:val="22"/>
        </w:rPr>
      </w:pPr>
      <w:r w:rsidRPr="00E708F7">
        <w:rPr>
          <w:rFonts w:ascii="Arial" w:hAnsi="Arial" w:cs="Arial"/>
          <w:sz w:val="22"/>
          <w:szCs w:val="22"/>
        </w:rPr>
        <w:t xml:space="preserve">The OGE continuously tracks and analyzes recruiting outcomes, student productivity and degree completion, and alumni career placement and is committed to publishing this information regularly. UNC is a leader in transparency in graduate education and career outcomes of doctoral and post-doctoral trainees in the life sciences, as a member of the NIH BEST Consortium and a member of the </w:t>
      </w:r>
      <w:r w:rsidR="00056D2A">
        <w:rPr>
          <w:rFonts w:ascii="Arial" w:hAnsi="Arial" w:cs="Arial"/>
          <w:bCs/>
          <w:sz w:val="22"/>
          <w:szCs w:val="22"/>
        </w:rPr>
        <w:t>Coalition for</w:t>
      </w:r>
      <w:r w:rsidRPr="00E708F7">
        <w:rPr>
          <w:rFonts w:ascii="Arial" w:hAnsi="Arial" w:cs="Arial"/>
          <w:sz w:val="22"/>
          <w:szCs w:val="22"/>
        </w:rPr>
        <w:t xml:space="preserve"> Next Generation Life Sciences Coalition (</w:t>
      </w:r>
      <w:r w:rsidR="00056D2A">
        <w:rPr>
          <w:rFonts w:ascii="Arial" w:hAnsi="Arial" w:cs="Arial"/>
          <w:bCs/>
          <w:sz w:val="22"/>
          <w:szCs w:val="22"/>
        </w:rPr>
        <w:t>C</w:t>
      </w:r>
      <w:r w:rsidRPr="00E708F7">
        <w:rPr>
          <w:rFonts w:ascii="Arial" w:hAnsi="Arial" w:cs="Arial"/>
          <w:bCs/>
          <w:sz w:val="22"/>
          <w:szCs w:val="22"/>
        </w:rPr>
        <w:t>NGLS</w:t>
      </w:r>
      <w:r w:rsidRPr="00E708F7">
        <w:rPr>
          <w:rFonts w:ascii="Arial" w:hAnsi="Arial" w:cs="Arial"/>
          <w:sz w:val="22"/>
          <w:szCs w:val="22"/>
        </w:rPr>
        <w:t>).</w:t>
      </w:r>
      <w:r w:rsidR="00DD1040" w:rsidRPr="00E708F7">
        <w:rPr>
          <w:rFonts w:ascii="Arial" w:hAnsi="Arial" w:cs="Arial"/>
          <w:sz w:val="22"/>
          <w:szCs w:val="22"/>
        </w:rPr>
        <w:t xml:space="preserve"> Dr. Brandt and Dr. Layton </w:t>
      </w:r>
      <w:proofErr w:type="gramStart"/>
      <w:r w:rsidR="00DD1040" w:rsidRPr="00E708F7">
        <w:rPr>
          <w:rFonts w:ascii="Arial" w:hAnsi="Arial" w:cs="Arial"/>
          <w:sz w:val="22"/>
          <w:szCs w:val="22"/>
        </w:rPr>
        <w:t xml:space="preserve">are </w:t>
      </w:r>
      <w:r w:rsidR="00056D2A">
        <w:rPr>
          <w:rFonts w:ascii="Arial" w:hAnsi="Arial" w:cs="Arial"/>
          <w:bCs/>
          <w:sz w:val="22"/>
          <w:szCs w:val="22"/>
        </w:rPr>
        <w:t>have</w:t>
      </w:r>
      <w:proofErr w:type="gramEnd"/>
      <w:r w:rsidR="00056D2A">
        <w:rPr>
          <w:rFonts w:ascii="Arial" w:hAnsi="Arial" w:cs="Arial"/>
          <w:bCs/>
          <w:sz w:val="22"/>
          <w:szCs w:val="22"/>
        </w:rPr>
        <w:t xml:space="preserve"> </w:t>
      </w:r>
      <w:r w:rsidR="00DD1040" w:rsidRPr="00E708F7">
        <w:rPr>
          <w:rFonts w:ascii="Arial" w:hAnsi="Arial" w:cs="Arial"/>
          <w:sz w:val="22"/>
          <w:szCs w:val="22"/>
        </w:rPr>
        <w:t xml:space="preserve">also </w:t>
      </w:r>
      <w:r w:rsidR="00056D2A">
        <w:rPr>
          <w:rFonts w:ascii="Arial" w:hAnsi="Arial" w:cs="Arial"/>
          <w:bCs/>
          <w:sz w:val="22"/>
          <w:szCs w:val="22"/>
        </w:rPr>
        <w:t>published as part of</w:t>
      </w:r>
      <w:r w:rsidR="00DD1040" w:rsidRPr="00E708F7">
        <w:rPr>
          <w:rFonts w:ascii="Arial" w:hAnsi="Arial" w:cs="Arial"/>
          <w:sz w:val="22"/>
          <w:szCs w:val="22"/>
        </w:rPr>
        <w:t xml:space="preserve"> a national collaborative effort to develop career taxonomy guidance to further this aim</w:t>
      </w:r>
      <w:r w:rsidR="00CB3989" w:rsidRPr="00E708F7">
        <w:rPr>
          <w:rFonts w:ascii="Arial" w:hAnsi="Arial" w:cs="Arial"/>
          <w:sz w:val="22"/>
          <w:szCs w:val="22"/>
        </w:rPr>
        <w:t>.</w:t>
      </w:r>
    </w:p>
    <w:p w14:paraId="66DC1982" w14:textId="77777777" w:rsidR="008B7C21" w:rsidRPr="00E708F7" w:rsidRDefault="008B7C21" w:rsidP="0025131E">
      <w:pPr>
        <w:jc w:val="both"/>
        <w:rPr>
          <w:rFonts w:ascii="Arial" w:hAnsi="Arial" w:cs="Arial"/>
          <w:sz w:val="22"/>
          <w:szCs w:val="22"/>
        </w:rPr>
      </w:pPr>
    </w:p>
    <w:p w14:paraId="24CB7934" w14:textId="05E31946" w:rsidR="0025131E" w:rsidRPr="00E708F7" w:rsidRDefault="005E4AE5" w:rsidP="0025131E">
      <w:pPr>
        <w:jc w:val="both"/>
        <w:rPr>
          <w:rFonts w:ascii="Arial" w:hAnsi="Arial" w:cs="Arial"/>
          <w:sz w:val="22"/>
          <w:szCs w:val="22"/>
        </w:rPr>
      </w:pPr>
      <w:r w:rsidRPr="00E708F7">
        <w:rPr>
          <w:rFonts w:ascii="Arial" w:hAnsi="Arial" w:cs="Arial"/>
          <w:b/>
          <w:i/>
          <w:sz w:val="22"/>
          <w:szCs w:val="22"/>
        </w:rPr>
        <w:t xml:space="preserve">Trainee </w:t>
      </w:r>
      <w:r w:rsidR="00D2261B" w:rsidRPr="00E708F7">
        <w:rPr>
          <w:rFonts w:ascii="Arial" w:hAnsi="Arial" w:cs="Arial"/>
          <w:b/>
          <w:i/>
          <w:sz w:val="22"/>
          <w:szCs w:val="22"/>
        </w:rPr>
        <w:t>Testimonials</w:t>
      </w:r>
      <w:r w:rsidRPr="00E708F7">
        <w:rPr>
          <w:rFonts w:ascii="Arial" w:hAnsi="Arial" w:cs="Arial"/>
          <w:b/>
          <w:i/>
          <w:sz w:val="22"/>
          <w:szCs w:val="22"/>
        </w:rPr>
        <w:t>:</w:t>
      </w:r>
      <w:r w:rsidRPr="00E708F7">
        <w:rPr>
          <w:rFonts w:ascii="Arial" w:hAnsi="Arial" w:cs="Arial"/>
          <w:sz w:val="22"/>
          <w:szCs w:val="22"/>
        </w:rPr>
        <w:t xml:space="preserve"> </w:t>
      </w:r>
      <w:r w:rsidR="0052595B" w:rsidRPr="00E708F7">
        <w:rPr>
          <w:rFonts w:ascii="Arial" w:hAnsi="Arial" w:cs="Arial"/>
          <w:sz w:val="22"/>
          <w:szCs w:val="22"/>
        </w:rPr>
        <w:t>S</w:t>
      </w:r>
      <w:r w:rsidR="0025131E" w:rsidRPr="00E708F7">
        <w:rPr>
          <w:rFonts w:ascii="Arial" w:hAnsi="Arial" w:cs="Arial"/>
          <w:sz w:val="22"/>
          <w:szCs w:val="22"/>
        </w:rPr>
        <w:t xml:space="preserve">cholars </w:t>
      </w:r>
      <w:r w:rsidR="0052595B" w:rsidRPr="00E708F7">
        <w:rPr>
          <w:rFonts w:ascii="Arial" w:hAnsi="Arial" w:cs="Arial"/>
          <w:sz w:val="22"/>
          <w:szCs w:val="22"/>
        </w:rPr>
        <w:t>show overwhelming</w:t>
      </w:r>
      <w:r w:rsidR="0025131E" w:rsidRPr="00E708F7">
        <w:rPr>
          <w:rFonts w:ascii="Arial" w:hAnsi="Arial" w:cs="Arial"/>
          <w:sz w:val="22"/>
          <w:szCs w:val="22"/>
        </w:rPr>
        <w:t xml:space="preserve"> support of the TIBBS program: </w:t>
      </w:r>
    </w:p>
    <w:p w14:paraId="2CF585BA" w14:textId="77777777" w:rsidR="0025131E" w:rsidRPr="00E708F7" w:rsidRDefault="0025131E" w:rsidP="0025131E">
      <w:pPr>
        <w:jc w:val="both"/>
        <w:rPr>
          <w:rFonts w:ascii="Arial" w:hAnsi="Arial" w:cs="Arial"/>
          <w:sz w:val="22"/>
          <w:szCs w:val="22"/>
        </w:rPr>
      </w:pPr>
    </w:p>
    <w:p w14:paraId="6217EF22" w14:textId="77777777" w:rsidR="0025131E" w:rsidRPr="00E708F7" w:rsidRDefault="0025131E" w:rsidP="0025131E">
      <w:pPr>
        <w:ind w:left="360" w:right="360"/>
        <w:jc w:val="both"/>
        <w:rPr>
          <w:rFonts w:ascii="Arial" w:hAnsi="Arial" w:cs="Arial"/>
          <w:i/>
          <w:sz w:val="22"/>
          <w:szCs w:val="22"/>
        </w:rPr>
      </w:pPr>
      <w:r w:rsidRPr="00E708F7">
        <w:rPr>
          <w:rFonts w:ascii="Arial" w:hAnsi="Arial" w:cs="Arial"/>
          <w:i/>
          <w:sz w:val="22"/>
          <w:szCs w:val="22"/>
        </w:rPr>
        <w:t>“TIBBS has helped me to recognize areas of my professional development that need to be improved to prepare myself for the career that I am interested in pursuing.” –</w:t>
      </w:r>
      <w:r w:rsidRPr="00E708F7">
        <w:rPr>
          <w:rFonts w:ascii="Arial" w:hAnsi="Arial" w:cs="Arial"/>
          <w:b/>
          <w:i/>
          <w:sz w:val="22"/>
          <w:szCs w:val="22"/>
        </w:rPr>
        <w:t>UNC graduate student</w:t>
      </w:r>
    </w:p>
    <w:p w14:paraId="4B3DDEE4" w14:textId="77777777" w:rsidR="0025131E" w:rsidRPr="00E708F7" w:rsidRDefault="0025131E" w:rsidP="0025131E">
      <w:pPr>
        <w:ind w:left="360" w:right="360"/>
        <w:jc w:val="both"/>
        <w:rPr>
          <w:rFonts w:ascii="Arial" w:hAnsi="Arial" w:cs="Arial"/>
          <w:i/>
          <w:sz w:val="22"/>
          <w:szCs w:val="22"/>
        </w:rPr>
      </w:pPr>
    </w:p>
    <w:p w14:paraId="1F9CAE1E" w14:textId="77777777" w:rsidR="0025131E" w:rsidRPr="00E708F7" w:rsidRDefault="0025131E" w:rsidP="0025131E">
      <w:pPr>
        <w:ind w:left="360" w:right="360"/>
        <w:jc w:val="both"/>
        <w:rPr>
          <w:rFonts w:ascii="Arial" w:hAnsi="Arial" w:cs="Arial"/>
          <w:i/>
          <w:sz w:val="22"/>
          <w:szCs w:val="22"/>
        </w:rPr>
      </w:pPr>
      <w:r w:rsidRPr="00E708F7">
        <w:rPr>
          <w:rFonts w:ascii="Arial" w:hAnsi="Arial" w:cs="Arial"/>
          <w:i/>
          <w:sz w:val="22"/>
          <w:szCs w:val="22"/>
        </w:rPr>
        <w:t>“I found TIBBS helpful because it got me started thinking about career paths early and provided me with great resources to investigate and determine a career path for myself.” –</w:t>
      </w:r>
      <w:r w:rsidRPr="00E708F7">
        <w:rPr>
          <w:rFonts w:ascii="Arial" w:hAnsi="Arial" w:cs="Arial"/>
          <w:b/>
          <w:i/>
          <w:sz w:val="22"/>
          <w:szCs w:val="22"/>
        </w:rPr>
        <w:t>UNC graduate student</w:t>
      </w:r>
    </w:p>
    <w:p w14:paraId="58D06DD8" w14:textId="77777777" w:rsidR="0025131E" w:rsidRPr="00E708F7" w:rsidRDefault="0025131E" w:rsidP="0025131E">
      <w:pPr>
        <w:ind w:left="360" w:right="360"/>
        <w:jc w:val="both"/>
        <w:rPr>
          <w:rFonts w:ascii="Arial" w:hAnsi="Arial" w:cs="Arial"/>
          <w:i/>
          <w:sz w:val="22"/>
          <w:szCs w:val="22"/>
        </w:rPr>
      </w:pPr>
    </w:p>
    <w:p w14:paraId="4F12D31B" w14:textId="77777777" w:rsidR="0025131E" w:rsidRPr="00E708F7" w:rsidRDefault="0025131E" w:rsidP="0025131E">
      <w:pPr>
        <w:ind w:left="360" w:right="360"/>
        <w:jc w:val="both"/>
        <w:rPr>
          <w:rFonts w:ascii="Arial" w:hAnsi="Arial" w:cs="Arial"/>
          <w:i/>
          <w:sz w:val="22"/>
          <w:szCs w:val="22"/>
        </w:rPr>
      </w:pPr>
      <w:r w:rsidRPr="00E708F7">
        <w:rPr>
          <w:rFonts w:ascii="Arial" w:hAnsi="Arial" w:cs="Arial"/>
          <w:i/>
          <w:sz w:val="22"/>
          <w:szCs w:val="22"/>
        </w:rPr>
        <w:t>“TIBBS was instrumental in my graduate experience and success…TIBBS programs such as the Summer Series on Pedagogy and the Postdoc Boot Camp were important events that aided in my professional development as a graduate student and helped me explore potential career opportunities. Additionally, the expertise of TIBBS staff members helped me to prepare application materials for my job search. Furthermore, my participation in the TIBBS Advisory Council…contributed to my project management experience, which helped me to secure my current position.” –</w:t>
      </w:r>
      <w:r w:rsidRPr="00E708F7">
        <w:rPr>
          <w:rFonts w:ascii="Arial" w:hAnsi="Arial" w:cs="Arial"/>
          <w:b/>
          <w:i/>
          <w:sz w:val="22"/>
          <w:szCs w:val="22"/>
        </w:rPr>
        <w:t xml:space="preserve">UNC graduate </w:t>
      </w:r>
      <w:r w:rsidR="00430BFA" w:rsidRPr="00E708F7">
        <w:rPr>
          <w:rFonts w:ascii="Arial" w:hAnsi="Arial" w:cs="Arial"/>
          <w:b/>
          <w:i/>
          <w:sz w:val="22"/>
          <w:szCs w:val="22"/>
        </w:rPr>
        <w:t>alum</w:t>
      </w:r>
    </w:p>
    <w:p w14:paraId="20399245" w14:textId="77777777" w:rsidR="008668EF" w:rsidRPr="00E708F7" w:rsidRDefault="008668EF">
      <w:pPr>
        <w:rPr>
          <w:rFonts w:ascii="Arial" w:hAnsi="Arial" w:cs="Arial"/>
          <w:sz w:val="22"/>
          <w:szCs w:val="22"/>
        </w:rPr>
      </w:pPr>
    </w:p>
    <w:p w14:paraId="0290AF4F" w14:textId="77777777" w:rsidR="00AB1FB5" w:rsidRPr="00E708F7" w:rsidRDefault="00AB1FB5" w:rsidP="00AB1FB5">
      <w:pPr>
        <w:jc w:val="both"/>
        <w:rPr>
          <w:rFonts w:ascii="Arial" w:hAnsi="Arial" w:cs="Arial"/>
          <w:sz w:val="22"/>
          <w:szCs w:val="22"/>
          <w:highlight w:val="yellow"/>
        </w:rPr>
      </w:pPr>
      <w:r w:rsidRPr="00E708F7">
        <w:rPr>
          <w:rFonts w:ascii="Arial" w:hAnsi="Arial" w:cs="Arial"/>
          <w:sz w:val="22"/>
          <w:szCs w:val="22"/>
          <w:highlight w:val="yellow"/>
        </w:rPr>
        <w:t>[NOTE TO GRANT WRITERS: Sample flyers for the Career Blitz, Postdoc Boot Camp, and TIBBS Workshop Series are available upon request. Although links are not allowed in NIH grant applications, below are some relevant links to help faculty better understand TIBBS services:</w:t>
      </w:r>
    </w:p>
    <w:p w14:paraId="03A20BCC" w14:textId="77777777" w:rsidR="00AB1FB5" w:rsidRPr="00E708F7" w:rsidRDefault="00AB1FB5" w:rsidP="0043041F">
      <w:pPr>
        <w:numPr>
          <w:ilvl w:val="0"/>
          <w:numId w:val="3"/>
        </w:numPr>
        <w:jc w:val="both"/>
        <w:rPr>
          <w:rFonts w:ascii="Arial" w:hAnsi="Arial" w:cs="Arial"/>
          <w:sz w:val="22"/>
          <w:szCs w:val="22"/>
          <w:highlight w:val="yellow"/>
        </w:rPr>
      </w:pPr>
      <w:r w:rsidRPr="00E708F7">
        <w:rPr>
          <w:rFonts w:ascii="Arial" w:hAnsi="Arial" w:cs="Arial"/>
          <w:sz w:val="22"/>
          <w:szCs w:val="22"/>
          <w:highlight w:val="yellow"/>
        </w:rPr>
        <w:t>TIBBS Website: https://tibbs.unc.edu/</w:t>
      </w:r>
    </w:p>
    <w:p w14:paraId="7AAB3706" w14:textId="77777777" w:rsidR="00AB1FB5" w:rsidRPr="00E708F7" w:rsidRDefault="00AB1FB5" w:rsidP="0043041F">
      <w:pPr>
        <w:numPr>
          <w:ilvl w:val="0"/>
          <w:numId w:val="3"/>
        </w:numPr>
        <w:jc w:val="both"/>
        <w:rPr>
          <w:rFonts w:ascii="Arial" w:hAnsi="Arial" w:cs="Arial"/>
          <w:sz w:val="22"/>
          <w:szCs w:val="22"/>
          <w:highlight w:val="yellow"/>
        </w:rPr>
      </w:pPr>
      <w:proofErr w:type="spellStart"/>
      <w:r w:rsidRPr="00E708F7">
        <w:rPr>
          <w:rFonts w:ascii="Arial" w:hAnsi="Arial" w:cs="Arial"/>
          <w:sz w:val="22"/>
          <w:szCs w:val="22"/>
          <w:highlight w:val="yellow"/>
        </w:rPr>
        <w:t>ImPACT</w:t>
      </w:r>
      <w:proofErr w:type="spellEnd"/>
      <w:r w:rsidRPr="00E708F7">
        <w:rPr>
          <w:rFonts w:ascii="Arial" w:hAnsi="Arial" w:cs="Arial"/>
          <w:sz w:val="22"/>
          <w:szCs w:val="22"/>
          <w:highlight w:val="yellow"/>
        </w:rPr>
        <w:t xml:space="preserve"> internships: https://tibbs.unc.edu/internships/</w:t>
      </w:r>
    </w:p>
    <w:p w14:paraId="156ACE92" w14:textId="44DBCD15" w:rsidR="00AB1FB5" w:rsidRPr="00E708F7" w:rsidRDefault="00AB1FB5" w:rsidP="00AB1FB5">
      <w:pPr>
        <w:numPr>
          <w:ilvl w:val="0"/>
          <w:numId w:val="3"/>
        </w:numPr>
        <w:jc w:val="both"/>
        <w:rPr>
          <w:rFonts w:ascii="Arial" w:hAnsi="Arial" w:cs="Arial"/>
          <w:sz w:val="22"/>
          <w:szCs w:val="22"/>
          <w:highlight w:val="yellow"/>
        </w:rPr>
        <w:pPrChange w:id="0" w:author="Brandt, Patrick Daniel" w:date="2024-01-18T12:37:00Z">
          <w:pPr>
            <w:jc w:val="both"/>
          </w:pPr>
        </w:pPrChange>
      </w:pPr>
      <w:proofErr w:type="spellStart"/>
      <w:r w:rsidRPr="00E708F7">
        <w:rPr>
          <w:rFonts w:ascii="Arial" w:hAnsi="Arial" w:cs="Arial"/>
          <w:sz w:val="22"/>
          <w:szCs w:val="22"/>
          <w:highlight w:val="yellow"/>
        </w:rPr>
        <w:t>PhDirect</w:t>
      </w:r>
      <w:proofErr w:type="spellEnd"/>
      <w:r w:rsidRPr="00E708F7">
        <w:rPr>
          <w:rFonts w:ascii="Arial" w:hAnsi="Arial" w:cs="Arial"/>
          <w:sz w:val="22"/>
          <w:szCs w:val="22"/>
          <w:highlight w:val="yellow"/>
        </w:rPr>
        <w:t xml:space="preserve"> website: </w:t>
      </w:r>
      <w:r w:rsidR="00EF5A64" w:rsidRPr="00E708F7">
        <w:rPr>
          <w:rFonts w:ascii="Arial" w:hAnsi="Arial" w:cs="Arial"/>
          <w:sz w:val="22"/>
          <w:szCs w:val="22"/>
          <w:highlight w:val="yellow"/>
        </w:rPr>
        <w:t>https://tarheels.live/phdirectlab/</w:t>
      </w:r>
    </w:p>
    <w:p w14:paraId="6D13829D" w14:textId="08AA16FC" w:rsidR="00EF5A64" w:rsidRPr="00E708F7" w:rsidRDefault="00EF5A64" w:rsidP="00EF5A64">
      <w:pPr>
        <w:numPr>
          <w:ilvl w:val="0"/>
          <w:numId w:val="3"/>
        </w:numPr>
        <w:jc w:val="both"/>
        <w:rPr>
          <w:rFonts w:ascii="Arial" w:hAnsi="Arial" w:cs="Arial"/>
          <w:sz w:val="22"/>
          <w:szCs w:val="22"/>
          <w:highlight w:val="yellow"/>
        </w:rPr>
      </w:pPr>
      <w:r w:rsidRPr="00E708F7">
        <w:rPr>
          <w:rFonts w:ascii="Arial" w:hAnsi="Arial" w:cs="Arial"/>
          <w:sz w:val="22"/>
          <w:szCs w:val="22"/>
          <w:highlight w:val="yellow"/>
        </w:rPr>
        <w:t xml:space="preserve">T32 Program evaluation </w:t>
      </w:r>
      <w:r w:rsidR="00E45481" w:rsidRPr="00E708F7">
        <w:rPr>
          <w:rFonts w:ascii="Arial" w:hAnsi="Arial" w:cs="Arial"/>
          <w:sz w:val="22"/>
          <w:szCs w:val="22"/>
          <w:highlight w:val="yellow"/>
        </w:rPr>
        <w:t>resources website</w:t>
      </w:r>
      <w:r w:rsidRPr="00E708F7">
        <w:rPr>
          <w:rFonts w:ascii="Arial" w:hAnsi="Arial" w:cs="Arial"/>
          <w:sz w:val="22"/>
          <w:szCs w:val="22"/>
          <w:highlight w:val="yellow"/>
        </w:rPr>
        <w:t xml:space="preserve">: </w:t>
      </w:r>
      <w:r w:rsidR="0043041F" w:rsidRPr="00E708F7">
        <w:rPr>
          <w:rFonts w:ascii="Arial" w:hAnsi="Arial" w:cs="Arial"/>
          <w:sz w:val="22"/>
          <w:szCs w:val="22"/>
        </w:rPr>
        <w:t xml:space="preserve">https://tarheels.live/t32programevaluation/ </w:t>
      </w:r>
    </w:p>
    <w:p w14:paraId="5802ACFB" w14:textId="55A71A61" w:rsidR="002556DA" w:rsidRPr="00E708F7" w:rsidRDefault="00E45481" w:rsidP="00EF5A64">
      <w:pPr>
        <w:numPr>
          <w:ilvl w:val="0"/>
          <w:numId w:val="3"/>
        </w:numPr>
        <w:jc w:val="both"/>
        <w:rPr>
          <w:rFonts w:ascii="Arial" w:hAnsi="Arial" w:cs="Arial"/>
          <w:sz w:val="22"/>
          <w:szCs w:val="22"/>
          <w:highlight w:val="yellow"/>
          <w:lang w:val="fr-FR"/>
        </w:rPr>
      </w:pPr>
      <w:r w:rsidRPr="00E708F7">
        <w:rPr>
          <w:rFonts w:ascii="Arial" w:hAnsi="Arial" w:cs="Arial"/>
          <w:sz w:val="22"/>
          <w:szCs w:val="22"/>
          <w:highlight w:val="yellow"/>
          <w:lang w:val="fr-FR"/>
        </w:rPr>
        <w:t xml:space="preserve">T32 Program </w:t>
      </w:r>
      <w:proofErr w:type="spellStart"/>
      <w:r w:rsidRPr="00E708F7">
        <w:rPr>
          <w:rFonts w:ascii="Arial" w:hAnsi="Arial" w:cs="Arial"/>
          <w:sz w:val="22"/>
          <w:szCs w:val="22"/>
          <w:highlight w:val="yellow"/>
          <w:lang w:val="fr-FR"/>
        </w:rPr>
        <w:t>evaluation</w:t>
      </w:r>
      <w:proofErr w:type="spellEnd"/>
      <w:r w:rsidRPr="00E708F7">
        <w:rPr>
          <w:rFonts w:ascii="Arial" w:hAnsi="Arial" w:cs="Arial"/>
          <w:sz w:val="22"/>
          <w:szCs w:val="22"/>
          <w:highlight w:val="yellow"/>
          <w:lang w:val="fr-FR"/>
        </w:rPr>
        <w:t xml:space="preserve"> </w:t>
      </w:r>
      <w:proofErr w:type="gramStart"/>
      <w:r w:rsidRPr="00E708F7">
        <w:rPr>
          <w:rFonts w:ascii="Arial" w:hAnsi="Arial" w:cs="Arial"/>
          <w:sz w:val="22"/>
          <w:szCs w:val="22"/>
          <w:highlight w:val="yellow"/>
          <w:lang w:val="fr-FR"/>
        </w:rPr>
        <w:t>publication:</w:t>
      </w:r>
      <w:proofErr w:type="gramEnd"/>
      <w:r w:rsidRPr="00E708F7">
        <w:rPr>
          <w:rFonts w:ascii="Arial" w:hAnsi="Arial" w:cs="Arial"/>
          <w:sz w:val="22"/>
          <w:szCs w:val="22"/>
          <w:highlight w:val="yellow"/>
          <w:lang w:val="fr-FR"/>
        </w:rPr>
        <w:t xml:space="preserve"> </w:t>
      </w:r>
      <w:r w:rsidR="00782604" w:rsidRPr="00E708F7">
        <w:rPr>
          <w:rFonts w:ascii="Arial" w:hAnsi="Arial" w:cs="Arial"/>
          <w:sz w:val="22"/>
          <w:szCs w:val="22"/>
          <w:lang w:val="fr-FR"/>
        </w:rPr>
        <w:t xml:space="preserve">https://journals.plos.org/plosone/article?id=10.1371/journal.pone.0278297 </w:t>
      </w:r>
    </w:p>
    <w:p w14:paraId="3D8362DF" w14:textId="382DE78C" w:rsidR="00AB1FB5" w:rsidRPr="00E708F7" w:rsidRDefault="00AB1FB5" w:rsidP="0043041F">
      <w:pPr>
        <w:numPr>
          <w:ilvl w:val="0"/>
          <w:numId w:val="3"/>
        </w:numPr>
        <w:jc w:val="both"/>
        <w:rPr>
          <w:rFonts w:ascii="Arial" w:hAnsi="Arial" w:cs="Arial"/>
          <w:b/>
          <w:sz w:val="22"/>
          <w:szCs w:val="22"/>
        </w:rPr>
      </w:pPr>
      <w:r w:rsidRPr="00E708F7">
        <w:rPr>
          <w:rFonts w:ascii="Arial" w:hAnsi="Arial" w:cs="Arial"/>
          <w:sz w:val="22"/>
          <w:szCs w:val="22"/>
          <w:highlight w:val="yellow"/>
        </w:rPr>
        <w:t xml:space="preserve">Career Outcomes dashboard: </w:t>
      </w:r>
      <w:r w:rsidR="008E2A68" w:rsidRPr="00E708F7">
        <w:rPr>
          <w:rFonts w:ascii="Arial" w:hAnsi="Arial" w:cs="Arial"/>
          <w:sz w:val="22"/>
          <w:szCs w:val="22"/>
          <w:highlight w:val="yellow"/>
        </w:rPr>
        <w:t>https://tibbs.unc.edu/career-outcomes-research/</w:t>
      </w:r>
    </w:p>
    <w:p w14:paraId="6C4A763E" w14:textId="599EFC74" w:rsidR="008E2A68" w:rsidRPr="00E708F7" w:rsidRDefault="008E2A68" w:rsidP="0043041F">
      <w:pPr>
        <w:numPr>
          <w:ilvl w:val="0"/>
          <w:numId w:val="3"/>
        </w:numPr>
        <w:jc w:val="both"/>
        <w:rPr>
          <w:rFonts w:ascii="Arial" w:hAnsi="Arial" w:cs="Arial"/>
          <w:b/>
          <w:sz w:val="22"/>
          <w:szCs w:val="22"/>
        </w:rPr>
      </w:pPr>
      <w:r w:rsidRPr="00E708F7">
        <w:rPr>
          <w:rFonts w:ascii="Arial" w:hAnsi="Arial" w:cs="Arial"/>
          <w:sz w:val="22"/>
          <w:szCs w:val="22"/>
        </w:rPr>
        <w:t xml:space="preserve">CNGLS website: </w:t>
      </w:r>
      <w:r w:rsidR="00195171" w:rsidRPr="00E708F7">
        <w:rPr>
          <w:rFonts w:ascii="Arial" w:hAnsi="Arial" w:cs="Arial"/>
          <w:sz w:val="22"/>
          <w:szCs w:val="22"/>
        </w:rPr>
        <w:t>https://nglscoa</w:t>
      </w:r>
      <w:r w:rsidR="00195171" w:rsidRPr="00E708F7">
        <w:rPr>
          <w:rFonts w:ascii="Arial" w:hAnsi="Arial" w:cs="Arial"/>
          <w:sz w:val="22"/>
          <w:szCs w:val="22"/>
        </w:rPr>
        <w:t>l</w:t>
      </w:r>
      <w:r w:rsidR="00195171" w:rsidRPr="00E708F7">
        <w:rPr>
          <w:rFonts w:ascii="Arial" w:hAnsi="Arial" w:cs="Arial"/>
          <w:sz w:val="22"/>
          <w:szCs w:val="22"/>
        </w:rPr>
        <w:t xml:space="preserve">ition.org/ </w:t>
      </w:r>
    </w:p>
    <w:p w14:paraId="42E1C159" w14:textId="77777777" w:rsidR="00AB1FB5" w:rsidRPr="00E708F7" w:rsidRDefault="00AB1FB5">
      <w:pPr>
        <w:rPr>
          <w:rFonts w:ascii="Arial" w:hAnsi="Arial" w:cs="Arial"/>
          <w:sz w:val="22"/>
          <w:szCs w:val="22"/>
        </w:rPr>
      </w:pPr>
    </w:p>
    <w:sectPr w:rsidR="00AB1FB5" w:rsidRPr="00E708F7" w:rsidSect="00F275C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77A78"/>
    <w:multiLevelType w:val="hybridMultilevel"/>
    <w:tmpl w:val="21D0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757D3"/>
    <w:multiLevelType w:val="hybridMultilevel"/>
    <w:tmpl w:val="E04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65DE7"/>
    <w:multiLevelType w:val="hybridMultilevel"/>
    <w:tmpl w:val="4A28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006290">
    <w:abstractNumId w:val="2"/>
  </w:num>
  <w:num w:numId="2" w16cid:durableId="1211500228">
    <w:abstractNumId w:val="0"/>
  </w:num>
  <w:num w:numId="3" w16cid:durableId="35253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E"/>
    <w:rsid w:val="00000F8A"/>
    <w:rsid w:val="00014371"/>
    <w:rsid w:val="00020636"/>
    <w:rsid w:val="000210BA"/>
    <w:rsid w:val="00030DB4"/>
    <w:rsid w:val="00036B69"/>
    <w:rsid w:val="00051244"/>
    <w:rsid w:val="00056064"/>
    <w:rsid w:val="00056D2A"/>
    <w:rsid w:val="00065965"/>
    <w:rsid w:val="00070D3A"/>
    <w:rsid w:val="000914F6"/>
    <w:rsid w:val="000B0BC2"/>
    <w:rsid w:val="000B61C6"/>
    <w:rsid w:val="000C05FF"/>
    <w:rsid w:val="000C13A4"/>
    <w:rsid w:val="000C62B7"/>
    <w:rsid w:val="000D380C"/>
    <w:rsid w:val="000D5775"/>
    <w:rsid w:val="000E066A"/>
    <w:rsid w:val="000E3DF4"/>
    <w:rsid w:val="000E43FE"/>
    <w:rsid w:val="001026E5"/>
    <w:rsid w:val="00107DAB"/>
    <w:rsid w:val="001104F2"/>
    <w:rsid w:val="0011330A"/>
    <w:rsid w:val="001319F0"/>
    <w:rsid w:val="0014252E"/>
    <w:rsid w:val="001466F9"/>
    <w:rsid w:val="00150E50"/>
    <w:rsid w:val="00151984"/>
    <w:rsid w:val="001656B0"/>
    <w:rsid w:val="00167AED"/>
    <w:rsid w:val="001830C5"/>
    <w:rsid w:val="00195171"/>
    <w:rsid w:val="00196B30"/>
    <w:rsid w:val="00197F72"/>
    <w:rsid w:val="001A084F"/>
    <w:rsid w:val="001B1FA9"/>
    <w:rsid w:val="001C09EA"/>
    <w:rsid w:val="001F326D"/>
    <w:rsid w:val="00203660"/>
    <w:rsid w:val="00212711"/>
    <w:rsid w:val="002228D5"/>
    <w:rsid w:val="00222E0C"/>
    <w:rsid w:val="00224D65"/>
    <w:rsid w:val="00232968"/>
    <w:rsid w:val="002418BC"/>
    <w:rsid w:val="00241D8B"/>
    <w:rsid w:val="0024455C"/>
    <w:rsid w:val="0025131E"/>
    <w:rsid w:val="002538BB"/>
    <w:rsid w:val="002556DA"/>
    <w:rsid w:val="00265A3B"/>
    <w:rsid w:val="00272AA3"/>
    <w:rsid w:val="00277ED5"/>
    <w:rsid w:val="002A49FD"/>
    <w:rsid w:val="002A59F8"/>
    <w:rsid w:val="002B2168"/>
    <w:rsid w:val="002B4F3C"/>
    <w:rsid w:val="002B667E"/>
    <w:rsid w:val="002C3F5F"/>
    <w:rsid w:val="002C7D5B"/>
    <w:rsid w:val="002C7DE6"/>
    <w:rsid w:val="002D5E8B"/>
    <w:rsid w:val="002E1B95"/>
    <w:rsid w:val="002E1D89"/>
    <w:rsid w:val="002F43F5"/>
    <w:rsid w:val="002F57FE"/>
    <w:rsid w:val="002F6315"/>
    <w:rsid w:val="00302DB8"/>
    <w:rsid w:val="003130BF"/>
    <w:rsid w:val="00313985"/>
    <w:rsid w:val="00315976"/>
    <w:rsid w:val="00320FC0"/>
    <w:rsid w:val="00332315"/>
    <w:rsid w:val="00337DF0"/>
    <w:rsid w:val="00362893"/>
    <w:rsid w:val="0037184F"/>
    <w:rsid w:val="0037624C"/>
    <w:rsid w:val="003910B3"/>
    <w:rsid w:val="00392D12"/>
    <w:rsid w:val="0039666E"/>
    <w:rsid w:val="00396F8B"/>
    <w:rsid w:val="003A3646"/>
    <w:rsid w:val="003A455C"/>
    <w:rsid w:val="003A64A9"/>
    <w:rsid w:val="003A6900"/>
    <w:rsid w:val="003B10BF"/>
    <w:rsid w:val="003B193C"/>
    <w:rsid w:val="003B5B3A"/>
    <w:rsid w:val="003B5F80"/>
    <w:rsid w:val="003C0B2B"/>
    <w:rsid w:val="003F04AD"/>
    <w:rsid w:val="003F0A7F"/>
    <w:rsid w:val="003F2B3E"/>
    <w:rsid w:val="004011E6"/>
    <w:rsid w:val="00406606"/>
    <w:rsid w:val="00410A90"/>
    <w:rsid w:val="00415C06"/>
    <w:rsid w:val="00417E1B"/>
    <w:rsid w:val="00423C2C"/>
    <w:rsid w:val="0043041F"/>
    <w:rsid w:val="00430BFA"/>
    <w:rsid w:val="004318E8"/>
    <w:rsid w:val="0043349D"/>
    <w:rsid w:val="00436157"/>
    <w:rsid w:val="00442089"/>
    <w:rsid w:val="00445FA2"/>
    <w:rsid w:val="00446C97"/>
    <w:rsid w:val="0045663F"/>
    <w:rsid w:val="00464DED"/>
    <w:rsid w:val="00473857"/>
    <w:rsid w:val="00493399"/>
    <w:rsid w:val="004A36B6"/>
    <w:rsid w:val="004A5A69"/>
    <w:rsid w:val="004C0332"/>
    <w:rsid w:val="004C4290"/>
    <w:rsid w:val="004C4EEC"/>
    <w:rsid w:val="004C774C"/>
    <w:rsid w:val="004D38E3"/>
    <w:rsid w:val="004D3D89"/>
    <w:rsid w:val="004D4732"/>
    <w:rsid w:val="004E209B"/>
    <w:rsid w:val="004E43EE"/>
    <w:rsid w:val="004F191F"/>
    <w:rsid w:val="00510116"/>
    <w:rsid w:val="0052021F"/>
    <w:rsid w:val="00520AF3"/>
    <w:rsid w:val="005242E1"/>
    <w:rsid w:val="0052595B"/>
    <w:rsid w:val="00533421"/>
    <w:rsid w:val="00543A1A"/>
    <w:rsid w:val="00544931"/>
    <w:rsid w:val="00550ED9"/>
    <w:rsid w:val="00552981"/>
    <w:rsid w:val="00576FF5"/>
    <w:rsid w:val="00590FB7"/>
    <w:rsid w:val="005944C2"/>
    <w:rsid w:val="005947D8"/>
    <w:rsid w:val="005B1A7F"/>
    <w:rsid w:val="005B1FAC"/>
    <w:rsid w:val="005C2A1A"/>
    <w:rsid w:val="005C3392"/>
    <w:rsid w:val="005C53D9"/>
    <w:rsid w:val="005C5470"/>
    <w:rsid w:val="005D21C8"/>
    <w:rsid w:val="005E4AE5"/>
    <w:rsid w:val="005F2521"/>
    <w:rsid w:val="005F59F5"/>
    <w:rsid w:val="005F736D"/>
    <w:rsid w:val="006065D0"/>
    <w:rsid w:val="006134CD"/>
    <w:rsid w:val="006142A4"/>
    <w:rsid w:val="00614749"/>
    <w:rsid w:val="006213D7"/>
    <w:rsid w:val="00627193"/>
    <w:rsid w:val="00652E78"/>
    <w:rsid w:val="00655DA8"/>
    <w:rsid w:val="0065749B"/>
    <w:rsid w:val="00664566"/>
    <w:rsid w:val="0066606A"/>
    <w:rsid w:val="00666C5A"/>
    <w:rsid w:val="00670456"/>
    <w:rsid w:val="00674423"/>
    <w:rsid w:val="006746A6"/>
    <w:rsid w:val="00684AFD"/>
    <w:rsid w:val="00692160"/>
    <w:rsid w:val="006925B8"/>
    <w:rsid w:val="00694223"/>
    <w:rsid w:val="0069489A"/>
    <w:rsid w:val="0069630B"/>
    <w:rsid w:val="00696714"/>
    <w:rsid w:val="006B0C70"/>
    <w:rsid w:val="006C7AF4"/>
    <w:rsid w:val="006D0B11"/>
    <w:rsid w:val="006D5DA8"/>
    <w:rsid w:val="006E103F"/>
    <w:rsid w:val="006E1D36"/>
    <w:rsid w:val="006E2BE0"/>
    <w:rsid w:val="006F408F"/>
    <w:rsid w:val="006F4707"/>
    <w:rsid w:val="006F5B7D"/>
    <w:rsid w:val="00700124"/>
    <w:rsid w:val="007076F4"/>
    <w:rsid w:val="00715F5D"/>
    <w:rsid w:val="0072173F"/>
    <w:rsid w:val="00723454"/>
    <w:rsid w:val="0072466D"/>
    <w:rsid w:val="00724C22"/>
    <w:rsid w:val="00734028"/>
    <w:rsid w:val="00741624"/>
    <w:rsid w:val="00741BD2"/>
    <w:rsid w:val="007609F6"/>
    <w:rsid w:val="007734C1"/>
    <w:rsid w:val="007814A9"/>
    <w:rsid w:val="00782604"/>
    <w:rsid w:val="0078539E"/>
    <w:rsid w:val="0078765C"/>
    <w:rsid w:val="0079167B"/>
    <w:rsid w:val="00792966"/>
    <w:rsid w:val="00797B69"/>
    <w:rsid w:val="007B4BC5"/>
    <w:rsid w:val="007C2E48"/>
    <w:rsid w:val="007C59FA"/>
    <w:rsid w:val="007D0540"/>
    <w:rsid w:val="007D1583"/>
    <w:rsid w:val="007D3E36"/>
    <w:rsid w:val="007E62C7"/>
    <w:rsid w:val="007F52D2"/>
    <w:rsid w:val="007F70D9"/>
    <w:rsid w:val="008037DE"/>
    <w:rsid w:val="00810944"/>
    <w:rsid w:val="008261B7"/>
    <w:rsid w:val="00827214"/>
    <w:rsid w:val="008349EF"/>
    <w:rsid w:val="008421C3"/>
    <w:rsid w:val="00846A45"/>
    <w:rsid w:val="00850A8C"/>
    <w:rsid w:val="00853CD9"/>
    <w:rsid w:val="0086415F"/>
    <w:rsid w:val="00864661"/>
    <w:rsid w:val="00865C4E"/>
    <w:rsid w:val="008668EF"/>
    <w:rsid w:val="0087022B"/>
    <w:rsid w:val="00884CDD"/>
    <w:rsid w:val="00886BDD"/>
    <w:rsid w:val="00896858"/>
    <w:rsid w:val="008A271B"/>
    <w:rsid w:val="008A43F1"/>
    <w:rsid w:val="008B1D6C"/>
    <w:rsid w:val="008B47C6"/>
    <w:rsid w:val="008B593D"/>
    <w:rsid w:val="008B7C21"/>
    <w:rsid w:val="008E2A68"/>
    <w:rsid w:val="008E3D4E"/>
    <w:rsid w:val="008E3DD6"/>
    <w:rsid w:val="008E55EF"/>
    <w:rsid w:val="008F4557"/>
    <w:rsid w:val="00900DD2"/>
    <w:rsid w:val="00925CB3"/>
    <w:rsid w:val="00927B25"/>
    <w:rsid w:val="00930009"/>
    <w:rsid w:val="009313F5"/>
    <w:rsid w:val="009371AC"/>
    <w:rsid w:val="009419B3"/>
    <w:rsid w:val="00947F4E"/>
    <w:rsid w:val="00952351"/>
    <w:rsid w:val="00954517"/>
    <w:rsid w:val="009563AB"/>
    <w:rsid w:val="009658EC"/>
    <w:rsid w:val="00975FE8"/>
    <w:rsid w:val="00996B74"/>
    <w:rsid w:val="00997E6E"/>
    <w:rsid w:val="009A123E"/>
    <w:rsid w:val="009B4BAB"/>
    <w:rsid w:val="009B69D2"/>
    <w:rsid w:val="009C3284"/>
    <w:rsid w:val="009C3D29"/>
    <w:rsid w:val="009C5868"/>
    <w:rsid w:val="009C6DD3"/>
    <w:rsid w:val="009D0314"/>
    <w:rsid w:val="009D31A3"/>
    <w:rsid w:val="009D690A"/>
    <w:rsid w:val="009E1696"/>
    <w:rsid w:val="009E1E6F"/>
    <w:rsid w:val="009E40EF"/>
    <w:rsid w:val="009E43EF"/>
    <w:rsid w:val="009E4992"/>
    <w:rsid w:val="009F06F0"/>
    <w:rsid w:val="009F073E"/>
    <w:rsid w:val="009F2957"/>
    <w:rsid w:val="00A04BD4"/>
    <w:rsid w:val="00A07D4D"/>
    <w:rsid w:val="00A20852"/>
    <w:rsid w:val="00A235E0"/>
    <w:rsid w:val="00A27A0E"/>
    <w:rsid w:val="00A3406D"/>
    <w:rsid w:val="00A46687"/>
    <w:rsid w:val="00A54666"/>
    <w:rsid w:val="00A55F7E"/>
    <w:rsid w:val="00A62387"/>
    <w:rsid w:val="00A72409"/>
    <w:rsid w:val="00A7319B"/>
    <w:rsid w:val="00A73B68"/>
    <w:rsid w:val="00A81DE5"/>
    <w:rsid w:val="00A82EAA"/>
    <w:rsid w:val="00A86302"/>
    <w:rsid w:val="00A86AB9"/>
    <w:rsid w:val="00A92F73"/>
    <w:rsid w:val="00A9363A"/>
    <w:rsid w:val="00AA7331"/>
    <w:rsid w:val="00AB1FB5"/>
    <w:rsid w:val="00AD0944"/>
    <w:rsid w:val="00AD3FC3"/>
    <w:rsid w:val="00AE0C4A"/>
    <w:rsid w:val="00AE13C6"/>
    <w:rsid w:val="00AE3D9B"/>
    <w:rsid w:val="00B047DC"/>
    <w:rsid w:val="00B06CF7"/>
    <w:rsid w:val="00B16E34"/>
    <w:rsid w:val="00B1755F"/>
    <w:rsid w:val="00B2571F"/>
    <w:rsid w:val="00B3391C"/>
    <w:rsid w:val="00B41072"/>
    <w:rsid w:val="00B42090"/>
    <w:rsid w:val="00B4227B"/>
    <w:rsid w:val="00B5494B"/>
    <w:rsid w:val="00B55471"/>
    <w:rsid w:val="00B55690"/>
    <w:rsid w:val="00B603EB"/>
    <w:rsid w:val="00BA312A"/>
    <w:rsid w:val="00BA7F6C"/>
    <w:rsid w:val="00BB34F3"/>
    <w:rsid w:val="00BB7C7C"/>
    <w:rsid w:val="00BC0070"/>
    <w:rsid w:val="00BC08E1"/>
    <w:rsid w:val="00BC13B3"/>
    <w:rsid w:val="00BD20A0"/>
    <w:rsid w:val="00BD39C4"/>
    <w:rsid w:val="00BD43CC"/>
    <w:rsid w:val="00BE626C"/>
    <w:rsid w:val="00BF5B76"/>
    <w:rsid w:val="00C02855"/>
    <w:rsid w:val="00C05215"/>
    <w:rsid w:val="00C07742"/>
    <w:rsid w:val="00C105B5"/>
    <w:rsid w:val="00C114D6"/>
    <w:rsid w:val="00C118DC"/>
    <w:rsid w:val="00C13846"/>
    <w:rsid w:val="00C24CB6"/>
    <w:rsid w:val="00C31185"/>
    <w:rsid w:val="00C3766B"/>
    <w:rsid w:val="00C41139"/>
    <w:rsid w:val="00C45FA2"/>
    <w:rsid w:val="00C516EF"/>
    <w:rsid w:val="00C533B6"/>
    <w:rsid w:val="00C543D3"/>
    <w:rsid w:val="00C70478"/>
    <w:rsid w:val="00C720F9"/>
    <w:rsid w:val="00C72F1A"/>
    <w:rsid w:val="00C75B5D"/>
    <w:rsid w:val="00C81D87"/>
    <w:rsid w:val="00C83A74"/>
    <w:rsid w:val="00C93ACC"/>
    <w:rsid w:val="00C976D0"/>
    <w:rsid w:val="00CB0FFC"/>
    <w:rsid w:val="00CB264A"/>
    <w:rsid w:val="00CB3989"/>
    <w:rsid w:val="00CB4573"/>
    <w:rsid w:val="00CB6271"/>
    <w:rsid w:val="00CD1B85"/>
    <w:rsid w:val="00CE1EF0"/>
    <w:rsid w:val="00CE4493"/>
    <w:rsid w:val="00CE589A"/>
    <w:rsid w:val="00CF09BF"/>
    <w:rsid w:val="00CF1B56"/>
    <w:rsid w:val="00CF3B18"/>
    <w:rsid w:val="00CF7DE6"/>
    <w:rsid w:val="00D02EAB"/>
    <w:rsid w:val="00D03337"/>
    <w:rsid w:val="00D052E1"/>
    <w:rsid w:val="00D2261B"/>
    <w:rsid w:val="00D355BE"/>
    <w:rsid w:val="00D36AAB"/>
    <w:rsid w:val="00D405C7"/>
    <w:rsid w:val="00D44E33"/>
    <w:rsid w:val="00D556DC"/>
    <w:rsid w:val="00D55C94"/>
    <w:rsid w:val="00D55FDF"/>
    <w:rsid w:val="00D606B0"/>
    <w:rsid w:val="00D74F75"/>
    <w:rsid w:val="00D814ED"/>
    <w:rsid w:val="00D82944"/>
    <w:rsid w:val="00D87468"/>
    <w:rsid w:val="00D87995"/>
    <w:rsid w:val="00D949C2"/>
    <w:rsid w:val="00D95BF5"/>
    <w:rsid w:val="00D96211"/>
    <w:rsid w:val="00DA08CA"/>
    <w:rsid w:val="00DA2CBC"/>
    <w:rsid w:val="00DA6981"/>
    <w:rsid w:val="00DB4D65"/>
    <w:rsid w:val="00DB55A0"/>
    <w:rsid w:val="00DC28EC"/>
    <w:rsid w:val="00DC5A4A"/>
    <w:rsid w:val="00DD1040"/>
    <w:rsid w:val="00DE0DC4"/>
    <w:rsid w:val="00DE391D"/>
    <w:rsid w:val="00DE5D15"/>
    <w:rsid w:val="00DE668C"/>
    <w:rsid w:val="00DF0997"/>
    <w:rsid w:val="00DF0DBC"/>
    <w:rsid w:val="00DF1CCD"/>
    <w:rsid w:val="00E00E25"/>
    <w:rsid w:val="00E01A0C"/>
    <w:rsid w:val="00E0504C"/>
    <w:rsid w:val="00E0703E"/>
    <w:rsid w:val="00E071B1"/>
    <w:rsid w:val="00E07FEB"/>
    <w:rsid w:val="00E119C7"/>
    <w:rsid w:val="00E148F2"/>
    <w:rsid w:val="00E161F7"/>
    <w:rsid w:val="00E20B8F"/>
    <w:rsid w:val="00E23144"/>
    <w:rsid w:val="00E232FB"/>
    <w:rsid w:val="00E35208"/>
    <w:rsid w:val="00E41F61"/>
    <w:rsid w:val="00E45481"/>
    <w:rsid w:val="00E46403"/>
    <w:rsid w:val="00E47E48"/>
    <w:rsid w:val="00E539D1"/>
    <w:rsid w:val="00E708F7"/>
    <w:rsid w:val="00E73743"/>
    <w:rsid w:val="00E90A91"/>
    <w:rsid w:val="00E9162B"/>
    <w:rsid w:val="00E91725"/>
    <w:rsid w:val="00E94825"/>
    <w:rsid w:val="00EA1178"/>
    <w:rsid w:val="00EB7277"/>
    <w:rsid w:val="00ED2FCE"/>
    <w:rsid w:val="00EE2E54"/>
    <w:rsid w:val="00EE4353"/>
    <w:rsid w:val="00EE56F0"/>
    <w:rsid w:val="00EF3FA6"/>
    <w:rsid w:val="00EF5A64"/>
    <w:rsid w:val="00F03649"/>
    <w:rsid w:val="00F04383"/>
    <w:rsid w:val="00F275CF"/>
    <w:rsid w:val="00F27BF8"/>
    <w:rsid w:val="00F27ED0"/>
    <w:rsid w:val="00F35E4E"/>
    <w:rsid w:val="00F3658E"/>
    <w:rsid w:val="00F500A8"/>
    <w:rsid w:val="00F55DFD"/>
    <w:rsid w:val="00F57F1C"/>
    <w:rsid w:val="00F606A2"/>
    <w:rsid w:val="00F7217E"/>
    <w:rsid w:val="00F84655"/>
    <w:rsid w:val="00F85775"/>
    <w:rsid w:val="00F961DC"/>
    <w:rsid w:val="00F9687E"/>
    <w:rsid w:val="00F97EED"/>
    <w:rsid w:val="00FA1D8A"/>
    <w:rsid w:val="00FA44B5"/>
    <w:rsid w:val="00FC0D73"/>
    <w:rsid w:val="00FC3CA1"/>
    <w:rsid w:val="00FE63BD"/>
    <w:rsid w:val="00FF04DA"/>
    <w:rsid w:val="00FF2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C2A0D"/>
  <w15:chartTrackingRefBased/>
  <w15:docId w15:val="{8C01CAF3-4084-44C9-92B5-80C14E06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E"/>
    <w:rPr>
      <w:sz w:val="24"/>
      <w:szCs w:val="24"/>
    </w:rPr>
  </w:style>
  <w:style w:type="paragraph" w:styleId="Heading2">
    <w:name w:val="heading 2"/>
    <w:basedOn w:val="Normal"/>
    <w:next w:val="Normal"/>
    <w:link w:val="Heading2Char"/>
    <w:uiPriority w:val="9"/>
    <w:semiHidden/>
    <w:unhideWhenUsed/>
    <w:qFormat/>
    <w:rsid w:val="009D031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E41F61"/>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D0314"/>
    <w:rPr>
      <w:rFonts w:ascii="Calibri Light" w:eastAsia="Times New Roman" w:hAnsi="Calibri Light"/>
      <w:b/>
      <w:bCs/>
      <w:i/>
      <w:iCs/>
      <w:sz w:val="28"/>
      <w:szCs w:val="28"/>
    </w:rPr>
  </w:style>
  <w:style w:type="character" w:styleId="Hyperlink">
    <w:name w:val="Hyperlink"/>
    <w:uiPriority w:val="99"/>
    <w:unhideWhenUsed/>
    <w:rsid w:val="0025131E"/>
    <w:rPr>
      <w:color w:val="0000FF"/>
      <w:u w:val="single"/>
    </w:rPr>
  </w:style>
  <w:style w:type="paragraph" w:styleId="BalloonText">
    <w:name w:val="Balloon Text"/>
    <w:basedOn w:val="Normal"/>
    <w:link w:val="BalloonTextChar"/>
    <w:uiPriority w:val="99"/>
    <w:semiHidden/>
    <w:unhideWhenUsed/>
    <w:rsid w:val="00884CDD"/>
    <w:rPr>
      <w:rFonts w:ascii="Lucida Grande" w:hAnsi="Lucida Grande" w:cs="Lucida Grande"/>
      <w:sz w:val="18"/>
      <w:szCs w:val="18"/>
    </w:rPr>
  </w:style>
  <w:style w:type="character" w:customStyle="1" w:styleId="BalloonTextChar">
    <w:name w:val="Balloon Text Char"/>
    <w:link w:val="BalloonText"/>
    <w:uiPriority w:val="99"/>
    <w:semiHidden/>
    <w:rsid w:val="00884CDD"/>
    <w:rPr>
      <w:rFonts w:ascii="Lucida Grande" w:hAnsi="Lucida Grande" w:cs="Lucida Grande"/>
      <w:sz w:val="18"/>
      <w:szCs w:val="18"/>
    </w:rPr>
  </w:style>
  <w:style w:type="character" w:customStyle="1" w:styleId="Heading3Char">
    <w:name w:val="Heading 3 Char"/>
    <w:link w:val="Heading3"/>
    <w:uiPriority w:val="9"/>
    <w:semiHidden/>
    <w:rsid w:val="00E41F61"/>
    <w:rPr>
      <w:rFonts w:ascii="Calibri Light" w:eastAsia="Times New Roman" w:hAnsi="Calibri Light" w:cs="Times New Roman"/>
      <w:b/>
      <w:bCs/>
      <w:sz w:val="26"/>
      <w:szCs w:val="26"/>
    </w:rPr>
  </w:style>
  <w:style w:type="character" w:styleId="UnresolvedMention">
    <w:name w:val="Unresolved Mention"/>
    <w:uiPriority w:val="47"/>
    <w:rsid w:val="0045663F"/>
    <w:rPr>
      <w:color w:val="605E5C"/>
      <w:shd w:val="clear" w:color="auto" w:fill="E1DFDD"/>
    </w:rPr>
  </w:style>
  <w:style w:type="paragraph" w:styleId="Revision">
    <w:name w:val="Revision"/>
    <w:hidden/>
    <w:uiPriority w:val="99"/>
    <w:semiHidden/>
    <w:rsid w:val="00925CB3"/>
    <w:rPr>
      <w:sz w:val="24"/>
      <w:szCs w:val="24"/>
    </w:rPr>
  </w:style>
  <w:style w:type="character" w:styleId="CommentReference">
    <w:name w:val="annotation reference"/>
    <w:uiPriority w:val="99"/>
    <w:semiHidden/>
    <w:unhideWhenUsed/>
    <w:rsid w:val="00696714"/>
    <w:rPr>
      <w:sz w:val="16"/>
      <w:szCs w:val="16"/>
    </w:rPr>
  </w:style>
  <w:style w:type="paragraph" w:styleId="CommentText">
    <w:name w:val="annotation text"/>
    <w:basedOn w:val="Normal"/>
    <w:link w:val="CommentTextChar"/>
    <w:uiPriority w:val="99"/>
    <w:unhideWhenUsed/>
    <w:rsid w:val="00696714"/>
    <w:rPr>
      <w:sz w:val="20"/>
      <w:szCs w:val="20"/>
    </w:rPr>
  </w:style>
  <w:style w:type="character" w:customStyle="1" w:styleId="CommentTextChar">
    <w:name w:val="Comment Text Char"/>
    <w:basedOn w:val="DefaultParagraphFont"/>
    <w:link w:val="CommentText"/>
    <w:uiPriority w:val="99"/>
    <w:rsid w:val="00696714"/>
  </w:style>
  <w:style w:type="paragraph" w:styleId="CommentSubject">
    <w:name w:val="annotation subject"/>
    <w:basedOn w:val="CommentText"/>
    <w:next w:val="CommentText"/>
    <w:link w:val="CommentSubjectChar"/>
    <w:uiPriority w:val="99"/>
    <w:semiHidden/>
    <w:unhideWhenUsed/>
    <w:rsid w:val="00696714"/>
    <w:rPr>
      <w:b/>
      <w:bCs/>
    </w:rPr>
  </w:style>
  <w:style w:type="character" w:customStyle="1" w:styleId="CommentSubjectChar">
    <w:name w:val="Comment Subject Char"/>
    <w:link w:val="CommentSubject"/>
    <w:uiPriority w:val="99"/>
    <w:semiHidden/>
    <w:rsid w:val="00696714"/>
    <w:rPr>
      <w:b/>
      <w:bCs/>
    </w:rPr>
  </w:style>
  <w:style w:type="paragraph" w:customStyle="1" w:styleId="ColorfulList-Accent11">
    <w:name w:val="Colorful List - Accent 11"/>
    <w:basedOn w:val="Normal"/>
    <w:uiPriority w:val="34"/>
    <w:qFormat/>
    <w:rsid w:val="00864661"/>
    <w:pPr>
      <w:ind w:left="720"/>
      <w:contextualSpacing/>
    </w:pPr>
  </w:style>
  <w:style w:type="character" w:styleId="FollowedHyperlink">
    <w:name w:val="FollowedHyperlink"/>
    <w:uiPriority w:val="99"/>
    <w:semiHidden/>
    <w:unhideWhenUsed/>
    <w:rsid w:val="00B16E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9810">
      <w:bodyDiv w:val="1"/>
      <w:marLeft w:val="0"/>
      <w:marRight w:val="0"/>
      <w:marTop w:val="0"/>
      <w:marBottom w:val="0"/>
      <w:divBdr>
        <w:top w:val="none" w:sz="0" w:space="0" w:color="auto"/>
        <w:left w:val="none" w:sz="0" w:space="0" w:color="auto"/>
        <w:bottom w:val="none" w:sz="0" w:space="0" w:color="auto"/>
        <w:right w:val="none" w:sz="0" w:space="0" w:color="auto"/>
      </w:divBdr>
    </w:div>
    <w:div w:id="992224815">
      <w:bodyDiv w:val="1"/>
      <w:marLeft w:val="0"/>
      <w:marRight w:val="0"/>
      <w:marTop w:val="0"/>
      <w:marBottom w:val="0"/>
      <w:divBdr>
        <w:top w:val="none" w:sz="0" w:space="0" w:color="auto"/>
        <w:left w:val="none" w:sz="0" w:space="0" w:color="auto"/>
        <w:bottom w:val="none" w:sz="0" w:space="0" w:color="auto"/>
        <w:right w:val="none" w:sz="0" w:space="0" w:color="auto"/>
      </w:divBdr>
    </w:div>
    <w:div w:id="1148864818">
      <w:bodyDiv w:val="1"/>
      <w:marLeft w:val="0"/>
      <w:marRight w:val="0"/>
      <w:marTop w:val="0"/>
      <w:marBottom w:val="0"/>
      <w:divBdr>
        <w:top w:val="none" w:sz="0" w:space="0" w:color="auto"/>
        <w:left w:val="none" w:sz="0" w:space="0" w:color="auto"/>
        <w:bottom w:val="none" w:sz="0" w:space="0" w:color="auto"/>
        <w:right w:val="none" w:sz="0" w:space="0" w:color="auto"/>
      </w:divBdr>
    </w:div>
    <w:div w:id="1325159222">
      <w:bodyDiv w:val="1"/>
      <w:marLeft w:val="0"/>
      <w:marRight w:val="0"/>
      <w:marTop w:val="0"/>
      <w:marBottom w:val="0"/>
      <w:divBdr>
        <w:top w:val="none" w:sz="0" w:space="0" w:color="auto"/>
        <w:left w:val="none" w:sz="0" w:space="0" w:color="auto"/>
        <w:bottom w:val="none" w:sz="0" w:space="0" w:color="auto"/>
        <w:right w:val="none" w:sz="0" w:space="0" w:color="auto"/>
      </w:divBdr>
    </w:div>
    <w:div w:id="1433356404">
      <w:bodyDiv w:val="1"/>
      <w:marLeft w:val="0"/>
      <w:marRight w:val="0"/>
      <w:marTop w:val="0"/>
      <w:marBottom w:val="0"/>
      <w:divBdr>
        <w:top w:val="none" w:sz="0" w:space="0" w:color="auto"/>
        <w:left w:val="none" w:sz="0" w:space="0" w:color="auto"/>
        <w:bottom w:val="none" w:sz="0" w:space="0" w:color="auto"/>
        <w:right w:val="none" w:sz="0" w:space="0" w:color="auto"/>
      </w:divBdr>
    </w:div>
    <w:div w:id="1461918258">
      <w:bodyDiv w:val="1"/>
      <w:marLeft w:val="0"/>
      <w:marRight w:val="0"/>
      <w:marTop w:val="0"/>
      <w:marBottom w:val="0"/>
      <w:divBdr>
        <w:top w:val="none" w:sz="0" w:space="0" w:color="auto"/>
        <w:left w:val="none" w:sz="0" w:space="0" w:color="auto"/>
        <w:bottom w:val="none" w:sz="0" w:space="0" w:color="auto"/>
        <w:right w:val="none" w:sz="0" w:space="0" w:color="auto"/>
      </w:divBdr>
    </w:div>
    <w:div w:id="1655139678">
      <w:bodyDiv w:val="1"/>
      <w:marLeft w:val="0"/>
      <w:marRight w:val="0"/>
      <w:marTop w:val="0"/>
      <w:marBottom w:val="0"/>
      <w:divBdr>
        <w:top w:val="none" w:sz="0" w:space="0" w:color="auto"/>
        <w:left w:val="none" w:sz="0" w:space="0" w:color="auto"/>
        <w:bottom w:val="none" w:sz="0" w:space="0" w:color="auto"/>
        <w:right w:val="none" w:sz="0" w:space="0" w:color="auto"/>
      </w:divBdr>
    </w:div>
    <w:div w:id="1810854407">
      <w:bodyDiv w:val="1"/>
      <w:marLeft w:val="0"/>
      <w:marRight w:val="0"/>
      <w:marTop w:val="0"/>
      <w:marBottom w:val="0"/>
      <w:divBdr>
        <w:top w:val="none" w:sz="0" w:space="0" w:color="auto"/>
        <w:left w:val="none" w:sz="0" w:space="0" w:color="auto"/>
        <w:bottom w:val="none" w:sz="0" w:space="0" w:color="auto"/>
        <w:right w:val="none" w:sz="0" w:space="0" w:color="auto"/>
      </w:divBdr>
    </w:div>
    <w:div w:id="181659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2741</Words>
  <Characters>15624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Brandt</dc:creator>
  <cp:keywords/>
  <cp:lastModifiedBy>Brandt, Patrick Daniel</cp:lastModifiedBy>
  <cp:revision>159</cp:revision>
  <dcterms:created xsi:type="dcterms:W3CDTF">2024-01-18T19:52:00Z</dcterms:created>
  <dcterms:modified xsi:type="dcterms:W3CDTF">2024-01-18T22:38:00Z</dcterms:modified>
</cp:coreProperties>
</file>