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58B0E3" w14:textId="77777777" w:rsidR="00E0754A" w:rsidRDefault="00E9778A" w:rsidP="00E9778A">
      <w:pPr>
        <w:jc w:val="right"/>
        <w:rPr>
          <w:rFonts w:ascii="Times" w:hAnsi="Times"/>
        </w:rPr>
      </w:pPr>
      <w:proofErr w:type="gramStart"/>
      <w:r>
        <w:rPr>
          <w:rFonts w:ascii="Times" w:hAnsi="Times"/>
        </w:rPr>
        <w:t>isolation</w:t>
      </w:r>
      <w:proofErr w:type="gramEnd"/>
      <w:r>
        <w:rPr>
          <w:rFonts w:ascii="Times" w:hAnsi="Times"/>
        </w:rPr>
        <w:t xml:space="preserve"> of </w:t>
      </w:r>
      <w:proofErr w:type="spellStart"/>
      <w:r>
        <w:rPr>
          <w:rFonts w:ascii="Times" w:hAnsi="Times"/>
        </w:rPr>
        <w:t>bacmid</w:t>
      </w:r>
      <w:proofErr w:type="spellEnd"/>
      <w:r>
        <w:rPr>
          <w:rFonts w:ascii="Times" w:hAnsi="Times"/>
        </w:rPr>
        <w:t xml:space="preserve"> DNA and analysis by PCR</w:t>
      </w:r>
    </w:p>
    <w:p w14:paraId="64869AAD" w14:textId="77777777" w:rsidR="00E9778A" w:rsidRDefault="00E9778A" w:rsidP="00E9778A">
      <w:pPr>
        <w:jc w:val="right"/>
        <w:rPr>
          <w:rFonts w:ascii="Times" w:hAnsi="Times"/>
        </w:rPr>
      </w:pPr>
      <w:r>
        <w:rPr>
          <w:rFonts w:ascii="Times" w:hAnsi="Times"/>
        </w:rPr>
        <w:t>Nicole Hajicek</w:t>
      </w:r>
    </w:p>
    <w:p w14:paraId="1AE8D11E" w14:textId="65F91B10" w:rsidR="00E9778A" w:rsidRDefault="00CF6ECC" w:rsidP="00E9778A">
      <w:pPr>
        <w:jc w:val="right"/>
        <w:rPr>
          <w:rFonts w:ascii="Times" w:hAnsi="Times"/>
        </w:rPr>
      </w:pPr>
      <w:proofErr w:type="gramStart"/>
      <w:r>
        <w:rPr>
          <w:rFonts w:ascii="Times" w:hAnsi="Times"/>
        </w:rPr>
        <w:t>revised</w:t>
      </w:r>
      <w:proofErr w:type="gramEnd"/>
      <w:r>
        <w:rPr>
          <w:rFonts w:ascii="Times" w:hAnsi="Times"/>
        </w:rPr>
        <w:t>: 08-20-15</w:t>
      </w:r>
    </w:p>
    <w:p w14:paraId="70AB1F72" w14:textId="77777777" w:rsidR="00E9778A" w:rsidRDefault="00E9778A" w:rsidP="00E9778A">
      <w:pPr>
        <w:jc w:val="right"/>
        <w:rPr>
          <w:rFonts w:ascii="Times" w:hAnsi="Times"/>
        </w:rPr>
      </w:pPr>
    </w:p>
    <w:p w14:paraId="6FE2576A" w14:textId="77777777" w:rsidR="00E9778A" w:rsidRDefault="009D1437" w:rsidP="003D3653">
      <w:pPr>
        <w:jc w:val="both"/>
        <w:rPr>
          <w:rFonts w:ascii="Times" w:hAnsi="Times"/>
        </w:rPr>
      </w:pPr>
      <w:r>
        <w:rPr>
          <w:rFonts w:ascii="Times" w:hAnsi="Times"/>
          <w:b/>
          <w:u w:val="single"/>
        </w:rPr>
        <w:t xml:space="preserve">Day 1: inoculate </w:t>
      </w:r>
      <w:r w:rsidR="003D3653">
        <w:rPr>
          <w:rFonts w:ascii="Times" w:hAnsi="Times"/>
          <w:b/>
          <w:u w:val="single"/>
        </w:rPr>
        <w:t xml:space="preserve">bacterial </w:t>
      </w:r>
      <w:r>
        <w:rPr>
          <w:rFonts w:ascii="Times" w:hAnsi="Times"/>
          <w:b/>
          <w:u w:val="single"/>
        </w:rPr>
        <w:t>cultures</w:t>
      </w:r>
    </w:p>
    <w:p w14:paraId="59407937" w14:textId="77777777" w:rsidR="009D1437" w:rsidRDefault="009D1437" w:rsidP="003D3653">
      <w:pPr>
        <w:pStyle w:val="ListParagraph"/>
        <w:numPr>
          <w:ilvl w:val="0"/>
          <w:numId w:val="1"/>
        </w:numPr>
        <w:jc w:val="both"/>
        <w:rPr>
          <w:rFonts w:ascii="Times" w:hAnsi="Times"/>
        </w:rPr>
      </w:pPr>
      <w:r>
        <w:rPr>
          <w:rFonts w:ascii="Times" w:hAnsi="Times"/>
        </w:rPr>
        <w:t xml:space="preserve">Using a sterile pipette tip, inoculate a single, isolated DH10Bac </w:t>
      </w:r>
      <w:r w:rsidRPr="009D1437">
        <w:rPr>
          <w:rFonts w:ascii="Times" w:hAnsi="Times"/>
          <w:i/>
        </w:rPr>
        <w:t>E. coli</w:t>
      </w:r>
      <w:r>
        <w:rPr>
          <w:rFonts w:ascii="Times" w:hAnsi="Times"/>
        </w:rPr>
        <w:t xml:space="preserve"> colony into 4 ml of LB medium containing 50 </w:t>
      </w:r>
      <w:r w:rsidRPr="009D1437">
        <w:rPr>
          <w:rFonts w:ascii="Symbol" w:hAnsi="Symbol"/>
        </w:rPr>
        <w:t></w:t>
      </w:r>
      <w:r>
        <w:rPr>
          <w:rFonts w:ascii="Times" w:hAnsi="Times"/>
        </w:rPr>
        <w:t xml:space="preserve">g/ml kanamycin, 7 </w:t>
      </w:r>
      <w:r w:rsidRPr="009D1437">
        <w:rPr>
          <w:rFonts w:ascii="Symbol" w:hAnsi="Symbol"/>
        </w:rPr>
        <w:t></w:t>
      </w:r>
      <w:r>
        <w:rPr>
          <w:rFonts w:ascii="Times" w:hAnsi="Times"/>
        </w:rPr>
        <w:t xml:space="preserve">g/ml gentamicin, and 10 </w:t>
      </w:r>
      <w:r w:rsidRPr="003D3653">
        <w:rPr>
          <w:rFonts w:ascii="Symbol" w:hAnsi="Symbol"/>
        </w:rPr>
        <w:t></w:t>
      </w:r>
      <w:r>
        <w:rPr>
          <w:rFonts w:ascii="Times" w:hAnsi="Times"/>
        </w:rPr>
        <w:t>g/ml tetracycline.</w:t>
      </w:r>
    </w:p>
    <w:p w14:paraId="4A339EFD" w14:textId="1A638550" w:rsidR="00CB7DB5" w:rsidRDefault="00CB7DB5" w:rsidP="00CB7DB5">
      <w:pPr>
        <w:pStyle w:val="ListParagraph"/>
        <w:numPr>
          <w:ilvl w:val="1"/>
          <w:numId w:val="1"/>
        </w:numPr>
        <w:jc w:val="both"/>
        <w:rPr>
          <w:rFonts w:ascii="Times" w:hAnsi="Times"/>
        </w:rPr>
      </w:pPr>
      <w:r>
        <w:rPr>
          <w:rFonts w:ascii="Times" w:hAnsi="Times"/>
        </w:rPr>
        <w:t>It is likely that there w</w:t>
      </w:r>
      <w:r w:rsidR="0078506C">
        <w:rPr>
          <w:rFonts w:ascii="Times" w:hAnsi="Times"/>
        </w:rPr>
        <w:t>ill be clone-to-clone variation</w:t>
      </w:r>
      <w:r>
        <w:rPr>
          <w:rFonts w:ascii="Times" w:hAnsi="Times"/>
        </w:rPr>
        <w:t xml:space="preserve"> in the expression level of your protein.  Therefore, it is ad</w:t>
      </w:r>
      <w:r w:rsidR="006A59E9">
        <w:rPr>
          <w:rFonts w:ascii="Times" w:hAnsi="Times"/>
        </w:rPr>
        <w:t>visable to select several recombinant clones (white colonies) for further analysis.</w:t>
      </w:r>
    </w:p>
    <w:p w14:paraId="4E238D02" w14:textId="012C677D" w:rsidR="006A59E9" w:rsidRDefault="006A59E9" w:rsidP="00CB7DB5">
      <w:pPr>
        <w:pStyle w:val="ListParagraph"/>
        <w:numPr>
          <w:ilvl w:val="1"/>
          <w:numId w:val="1"/>
        </w:numPr>
        <w:jc w:val="both"/>
        <w:rPr>
          <w:rFonts w:ascii="Times" w:hAnsi="Times"/>
        </w:rPr>
      </w:pPr>
      <w:r>
        <w:rPr>
          <w:rFonts w:ascii="Times" w:hAnsi="Times"/>
        </w:rPr>
        <w:t xml:space="preserve">It is also prudent to select a non-recombinant clone (blue colony) as well.  This ‘empty’ </w:t>
      </w:r>
      <w:proofErr w:type="spellStart"/>
      <w:r>
        <w:rPr>
          <w:rFonts w:ascii="Times" w:hAnsi="Times"/>
        </w:rPr>
        <w:t>bacmid</w:t>
      </w:r>
      <w:proofErr w:type="spellEnd"/>
      <w:r>
        <w:rPr>
          <w:rFonts w:ascii="Times" w:hAnsi="Times"/>
        </w:rPr>
        <w:t xml:space="preserve"> DNA will be a useful control both for PCR and for transfecting insect cells to generate a P0 viral stock.</w:t>
      </w:r>
    </w:p>
    <w:p w14:paraId="197708A0" w14:textId="1DC4C1D7" w:rsidR="003D3653" w:rsidRDefault="003D3653" w:rsidP="003D3653">
      <w:pPr>
        <w:pStyle w:val="ListParagraph"/>
        <w:numPr>
          <w:ilvl w:val="0"/>
          <w:numId w:val="1"/>
        </w:numPr>
        <w:jc w:val="both"/>
        <w:rPr>
          <w:rFonts w:ascii="Times" w:hAnsi="Times"/>
        </w:rPr>
      </w:pPr>
      <w:r>
        <w:rPr>
          <w:rFonts w:ascii="Times" w:hAnsi="Times"/>
        </w:rPr>
        <w:t xml:space="preserve">Grow the cultures at 37 </w:t>
      </w:r>
      <w:r w:rsidR="00996A92">
        <w:rPr>
          <w:rFonts w:ascii="Times" w:hAnsi="Times"/>
        </w:rPr>
        <w:t>°</w:t>
      </w:r>
      <w:r>
        <w:rPr>
          <w:rFonts w:ascii="Times" w:hAnsi="Times"/>
        </w:rPr>
        <w:t>C with shaking at 240 rpm for ~17 hours.</w:t>
      </w:r>
    </w:p>
    <w:p w14:paraId="0692AD35" w14:textId="77777777" w:rsidR="003D3653" w:rsidRDefault="003D3653" w:rsidP="003D3653">
      <w:pPr>
        <w:jc w:val="both"/>
        <w:rPr>
          <w:rFonts w:ascii="Times" w:hAnsi="Times"/>
        </w:rPr>
      </w:pPr>
    </w:p>
    <w:p w14:paraId="440B7DE1" w14:textId="77777777" w:rsidR="003D3653" w:rsidRDefault="003D3653" w:rsidP="003D3653">
      <w:pPr>
        <w:jc w:val="both"/>
        <w:rPr>
          <w:rFonts w:ascii="Times" w:hAnsi="Times"/>
          <w:b/>
          <w:u w:val="single"/>
        </w:rPr>
      </w:pPr>
      <w:r>
        <w:rPr>
          <w:rFonts w:ascii="Times" w:hAnsi="Times"/>
          <w:b/>
          <w:u w:val="single"/>
        </w:rPr>
        <w:t xml:space="preserve">Day 2: isolate </w:t>
      </w:r>
      <w:proofErr w:type="spellStart"/>
      <w:r>
        <w:rPr>
          <w:rFonts w:ascii="Times" w:hAnsi="Times"/>
          <w:b/>
          <w:u w:val="single"/>
        </w:rPr>
        <w:t>bacmid</w:t>
      </w:r>
      <w:proofErr w:type="spellEnd"/>
      <w:r>
        <w:rPr>
          <w:rFonts w:ascii="Times" w:hAnsi="Times"/>
          <w:b/>
          <w:u w:val="single"/>
        </w:rPr>
        <w:t xml:space="preserve"> DNA and analyze by PCR</w:t>
      </w:r>
    </w:p>
    <w:p w14:paraId="07E9005A" w14:textId="10EBD774" w:rsidR="003D3653" w:rsidRPr="003D3653" w:rsidRDefault="0078506C" w:rsidP="003D3653">
      <w:pPr>
        <w:jc w:val="both"/>
        <w:rPr>
          <w:rFonts w:ascii="Times" w:hAnsi="Times"/>
        </w:rPr>
      </w:pPr>
      <w:r>
        <w:rPr>
          <w:rFonts w:ascii="Times" w:hAnsi="Times"/>
          <w:b/>
        </w:rPr>
        <w:t>Isolation of</w:t>
      </w:r>
      <w:r w:rsidR="003D3653" w:rsidRPr="003D3653">
        <w:rPr>
          <w:rFonts w:ascii="Times" w:hAnsi="Times"/>
          <w:b/>
        </w:rPr>
        <w:t xml:space="preserve"> </w:t>
      </w:r>
      <w:proofErr w:type="spellStart"/>
      <w:r w:rsidR="003D3653" w:rsidRPr="003D3653">
        <w:rPr>
          <w:rFonts w:ascii="Times" w:hAnsi="Times"/>
          <w:b/>
        </w:rPr>
        <w:t>bacmid</w:t>
      </w:r>
      <w:proofErr w:type="spellEnd"/>
      <w:r w:rsidR="003D3653" w:rsidRPr="003D3653">
        <w:rPr>
          <w:rFonts w:ascii="Times" w:hAnsi="Times"/>
          <w:b/>
        </w:rPr>
        <w:t xml:space="preserve"> DNA</w:t>
      </w:r>
    </w:p>
    <w:p w14:paraId="10BF277C" w14:textId="204D297A" w:rsidR="003D3653" w:rsidRDefault="003D3653" w:rsidP="003D3653">
      <w:pPr>
        <w:pStyle w:val="ListParagraph"/>
        <w:numPr>
          <w:ilvl w:val="0"/>
          <w:numId w:val="2"/>
        </w:numPr>
        <w:jc w:val="both"/>
        <w:rPr>
          <w:rFonts w:ascii="Times" w:hAnsi="Times"/>
        </w:rPr>
      </w:pPr>
      <w:r>
        <w:rPr>
          <w:rFonts w:ascii="Times" w:hAnsi="Times"/>
        </w:rPr>
        <w:t>Prepare a glycerol stock of each</w:t>
      </w:r>
      <w:r w:rsidR="006A59E9">
        <w:rPr>
          <w:rFonts w:ascii="Times" w:hAnsi="Times"/>
        </w:rPr>
        <w:t xml:space="preserve"> recombinant</w:t>
      </w:r>
      <w:r>
        <w:rPr>
          <w:rFonts w:ascii="Times" w:hAnsi="Times"/>
        </w:rPr>
        <w:t xml:space="preserve"> bacterial clone by mixing 0.5 ml of overnight culture with 0.5 ml of sterile 30% glycerol in a </w:t>
      </w:r>
      <w:proofErr w:type="spellStart"/>
      <w:r>
        <w:rPr>
          <w:rFonts w:ascii="Times" w:hAnsi="Times"/>
        </w:rPr>
        <w:t>cryovial</w:t>
      </w:r>
      <w:proofErr w:type="spellEnd"/>
      <w:r>
        <w:rPr>
          <w:rFonts w:ascii="Times" w:hAnsi="Times"/>
        </w:rPr>
        <w:t xml:space="preserve">.  Store glycerol stocks at -80 </w:t>
      </w:r>
      <w:r w:rsidR="00996A92">
        <w:rPr>
          <w:rFonts w:ascii="Times" w:hAnsi="Times"/>
        </w:rPr>
        <w:t>°</w:t>
      </w:r>
      <w:r>
        <w:rPr>
          <w:rFonts w:ascii="Times" w:hAnsi="Times"/>
        </w:rPr>
        <w:t>C.</w:t>
      </w:r>
    </w:p>
    <w:p w14:paraId="105A68A9" w14:textId="77777777" w:rsidR="003D3653" w:rsidRDefault="003D3653" w:rsidP="003D3653">
      <w:pPr>
        <w:pStyle w:val="ListParagraph"/>
        <w:numPr>
          <w:ilvl w:val="0"/>
          <w:numId w:val="2"/>
        </w:numPr>
        <w:jc w:val="both"/>
        <w:rPr>
          <w:rFonts w:ascii="Times" w:hAnsi="Times"/>
        </w:rPr>
      </w:pPr>
      <w:r>
        <w:rPr>
          <w:rFonts w:ascii="Times" w:hAnsi="Times"/>
        </w:rPr>
        <w:t xml:space="preserve">Spin down the remaining volume of cells (~3.5 ml) in a 1.5 ml </w:t>
      </w:r>
      <w:proofErr w:type="spellStart"/>
      <w:r>
        <w:rPr>
          <w:rFonts w:ascii="Times" w:hAnsi="Times"/>
        </w:rPr>
        <w:t>microcentrifuge</w:t>
      </w:r>
      <w:proofErr w:type="spellEnd"/>
      <w:r>
        <w:rPr>
          <w:rFonts w:ascii="Times" w:hAnsi="Times"/>
        </w:rPr>
        <w:t xml:space="preserve"> tube.</w:t>
      </w:r>
    </w:p>
    <w:p w14:paraId="776DE01A" w14:textId="0E0E88F3" w:rsidR="003D3653" w:rsidRDefault="003D3653" w:rsidP="003D3653">
      <w:pPr>
        <w:pStyle w:val="ListParagraph"/>
        <w:numPr>
          <w:ilvl w:val="1"/>
          <w:numId w:val="2"/>
        </w:numPr>
        <w:jc w:val="both"/>
        <w:rPr>
          <w:rFonts w:ascii="Times" w:hAnsi="Times"/>
        </w:rPr>
      </w:pPr>
      <w:r>
        <w:rPr>
          <w:rFonts w:ascii="Times" w:hAnsi="Times"/>
        </w:rPr>
        <w:t xml:space="preserve"> Transfer 1.5 m</w:t>
      </w:r>
      <w:r w:rsidR="006A59E9">
        <w:rPr>
          <w:rFonts w:ascii="Times" w:hAnsi="Times"/>
        </w:rPr>
        <w:t xml:space="preserve">l of cells to a 1.5 ml tube, </w:t>
      </w:r>
      <w:r w:rsidR="0078506C">
        <w:rPr>
          <w:rFonts w:ascii="Times" w:hAnsi="Times"/>
        </w:rPr>
        <w:t>spin at 10,000 rpm for 1 minute</w:t>
      </w:r>
      <w:r>
        <w:rPr>
          <w:rFonts w:ascii="Times" w:hAnsi="Times"/>
        </w:rPr>
        <w:t xml:space="preserve"> at room temperature</w:t>
      </w:r>
      <w:r w:rsidR="006A59E9">
        <w:rPr>
          <w:rFonts w:ascii="Times" w:hAnsi="Times"/>
        </w:rPr>
        <w:t xml:space="preserve">, </w:t>
      </w:r>
      <w:proofErr w:type="gramStart"/>
      <w:r w:rsidR="006A59E9">
        <w:rPr>
          <w:rFonts w:ascii="Times" w:hAnsi="Times"/>
        </w:rPr>
        <w:t>then</w:t>
      </w:r>
      <w:proofErr w:type="gramEnd"/>
      <w:r w:rsidR="006A59E9">
        <w:rPr>
          <w:rFonts w:ascii="Times" w:hAnsi="Times"/>
        </w:rPr>
        <w:t xml:space="preserve"> aspirate the supernatant</w:t>
      </w:r>
      <w:r>
        <w:rPr>
          <w:rFonts w:ascii="Times" w:hAnsi="Times"/>
        </w:rPr>
        <w:t xml:space="preserve">. </w:t>
      </w:r>
    </w:p>
    <w:p w14:paraId="4D3B34F0" w14:textId="6E30301F" w:rsidR="003D3653" w:rsidRDefault="006A59E9" w:rsidP="003D3653">
      <w:pPr>
        <w:pStyle w:val="ListParagraph"/>
        <w:numPr>
          <w:ilvl w:val="1"/>
          <w:numId w:val="2"/>
        </w:numPr>
        <w:jc w:val="both"/>
        <w:rPr>
          <w:rFonts w:ascii="Times" w:hAnsi="Times"/>
        </w:rPr>
      </w:pPr>
      <w:r>
        <w:rPr>
          <w:rFonts w:ascii="Times" w:hAnsi="Times"/>
        </w:rPr>
        <w:t>R</w:t>
      </w:r>
      <w:r w:rsidR="003D3653">
        <w:rPr>
          <w:rFonts w:ascii="Times" w:hAnsi="Times"/>
        </w:rPr>
        <w:t>epeat step</w:t>
      </w:r>
      <w:r>
        <w:rPr>
          <w:rFonts w:ascii="Times" w:hAnsi="Times"/>
        </w:rPr>
        <w:t xml:space="preserve"> 2a </w:t>
      </w:r>
      <w:r w:rsidR="003D3653">
        <w:rPr>
          <w:rFonts w:ascii="Times" w:hAnsi="Times"/>
        </w:rPr>
        <w:t>until all of the cells have been collected.</w:t>
      </w:r>
    </w:p>
    <w:p w14:paraId="736ABFD0" w14:textId="20346438" w:rsidR="003D3653" w:rsidRDefault="006A59E9" w:rsidP="003D3653">
      <w:pPr>
        <w:pStyle w:val="ListParagraph"/>
        <w:numPr>
          <w:ilvl w:val="0"/>
          <w:numId w:val="2"/>
        </w:numPr>
        <w:jc w:val="both"/>
        <w:rPr>
          <w:rFonts w:ascii="Times" w:hAnsi="Times"/>
        </w:rPr>
      </w:pPr>
      <w:proofErr w:type="spellStart"/>
      <w:r>
        <w:rPr>
          <w:rFonts w:ascii="Times" w:hAnsi="Times"/>
        </w:rPr>
        <w:t>Resuspend</w:t>
      </w:r>
      <w:proofErr w:type="spellEnd"/>
      <w:r>
        <w:rPr>
          <w:rFonts w:ascii="Times" w:hAnsi="Times"/>
        </w:rPr>
        <w:t xml:space="preserve"> the cells</w:t>
      </w:r>
      <w:r w:rsidR="003D3653">
        <w:rPr>
          <w:rFonts w:ascii="Times" w:hAnsi="Times"/>
        </w:rPr>
        <w:t xml:space="preserve"> in 0.3 ml of Solution</w:t>
      </w:r>
      <w:r w:rsidR="00926359">
        <w:rPr>
          <w:rFonts w:ascii="Times" w:hAnsi="Times"/>
        </w:rPr>
        <w:t xml:space="preserve"> I.  Gently pipette the sample</w:t>
      </w:r>
      <w:r w:rsidR="003D3653">
        <w:rPr>
          <w:rFonts w:ascii="Times" w:hAnsi="Times"/>
        </w:rPr>
        <w:t xml:space="preserve"> up and down to completely </w:t>
      </w:r>
      <w:proofErr w:type="spellStart"/>
      <w:r w:rsidR="003D3653">
        <w:rPr>
          <w:rFonts w:ascii="Times" w:hAnsi="Times"/>
        </w:rPr>
        <w:t>resuspend</w:t>
      </w:r>
      <w:proofErr w:type="spellEnd"/>
      <w:r w:rsidR="003D3653">
        <w:rPr>
          <w:rFonts w:ascii="Times" w:hAnsi="Times"/>
        </w:rPr>
        <w:t xml:space="preserve"> the pellet.  </w:t>
      </w:r>
      <w:r w:rsidR="00926359">
        <w:rPr>
          <w:rFonts w:ascii="Times" w:hAnsi="Times"/>
        </w:rPr>
        <w:t xml:space="preserve">If necessary, the sample can also be </w:t>
      </w:r>
      <w:proofErr w:type="spellStart"/>
      <w:r w:rsidR="00926359">
        <w:rPr>
          <w:rFonts w:ascii="Times" w:hAnsi="Times"/>
        </w:rPr>
        <w:t>vortexed</w:t>
      </w:r>
      <w:proofErr w:type="spellEnd"/>
      <w:r w:rsidR="00926359">
        <w:rPr>
          <w:rFonts w:ascii="Times" w:hAnsi="Times"/>
        </w:rPr>
        <w:t xml:space="preserve"> gently.</w:t>
      </w:r>
    </w:p>
    <w:p w14:paraId="614D8C97" w14:textId="104F44AD" w:rsidR="00926359" w:rsidRDefault="00926359" w:rsidP="003D3653">
      <w:pPr>
        <w:pStyle w:val="ListParagraph"/>
        <w:numPr>
          <w:ilvl w:val="0"/>
          <w:numId w:val="2"/>
        </w:numPr>
        <w:jc w:val="both"/>
        <w:rPr>
          <w:rFonts w:ascii="Times" w:hAnsi="Times"/>
        </w:rPr>
      </w:pPr>
      <w:r>
        <w:rPr>
          <w:rFonts w:ascii="Times" w:hAnsi="Times"/>
        </w:rPr>
        <w:t>Add 0.3 ml of Solution</w:t>
      </w:r>
      <w:r w:rsidR="006A59E9">
        <w:rPr>
          <w:rFonts w:ascii="Times" w:hAnsi="Times"/>
        </w:rPr>
        <w:t xml:space="preserve"> II, </w:t>
      </w:r>
      <w:r>
        <w:rPr>
          <w:rFonts w:ascii="Times" w:hAnsi="Times"/>
        </w:rPr>
        <w:t>inv</w:t>
      </w:r>
      <w:r w:rsidR="006A59E9">
        <w:rPr>
          <w:rFonts w:ascii="Times" w:hAnsi="Times"/>
        </w:rPr>
        <w:t>ert to mix, and incubate</w:t>
      </w:r>
      <w:r>
        <w:rPr>
          <w:rFonts w:ascii="Times" w:hAnsi="Times"/>
        </w:rPr>
        <w:t xml:space="preserve"> at room temperature for 3 minutes.  The appearance of the suspension should change from turbid to almost translucent.  </w:t>
      </w:r>
    </w:p>
    <w:p w14:paraId="77176AC6" w14:textId="77777777" w:rsidR="00926359" w:rsidRDefault="00926359" w:rsidP="00926359">
      <w:pPr>
        <w:pStyle w:val="ListParagraph"/>
        <w:numPr>
          <w:ilvl w:val="1"/>
          <w:numId w:val="2"/>
        </w:numPr>
        <w:jc w:val="both"/>
        <w:rPr>
          <w:rFonts w:ascii="Times" w:hAnsi="Times"/>
        </w:rPr>
      </w:pPr>
      <w:r>
        <w:rPr>
          <w:rFonts w:ascii="Times" w:hAnsi="Times"/>
        </w:rPr>
        <w:t xml:space="preserve">Do not let the incubation proceed for much longer than 3 minutes, as the </w:t>
      </w:r>
      <w:proofErr w:type="spellStart"/>
      <w:r>
        <w:rPr>
          <w:rFonts w:ascii="Times" w:hAnsi="Times"/>
        </w:rPr>
        <w:t>bacmid</w:t>
      </w:r>
      <w:proofErr w:type="spellEnd"/>
      <w:r>
        <w:rPr>
          <w:rFonts w:ascii="Times" w:hAnsi="Times"/>
        </w:rPr>
        <w:t xml:space="preserve"> DNA may become denatured.</w:t>
      </w:r>
    </w:p>
    <w:p w14:paraId="586819AD" w14:textId="309D9668" w:rsidR="00926359" w:rsidRDefault="00996A92" w:rsidP="000020D0">
      <w:pPr>
        <w:pStyle w:val="ListParagraph"/>
        <w:numPr>
          <w:ilvl w:val="0"/>
          <w:numId w:val="2"/>
        </w:numPr>
        <w:jc w:val="both"/>
        <w:rPr>
          <w:rFonts w:ascii="Times" w:hAnsi="Times"/>
        </w:rPr>
      </w:pPr>
      <w:r>
        <w:rPr>
          <w:rFonts w:ascii="Times" w:hAnsi="Times"/>
        </w:rPr>
        <w:t>Add 0.3 ml of S</w:t>
      </w:r>
      <w:r w:rsidR="00926359">
        <w:rPr>
          <w:rFonts w:ascii="Times" w:hAnsi="Times"/>
        </w:rPr>
        <w:t xml:space="preserve">olution III and invert to thoroughly mix the sample.  A thick white precipitate of protein and </w:t>
      </w:r>
      <w:r w:rsidR="00926359" w:rsidRPr="00926359">
        <w:rPr>
          <w:rFonts w:ascii="Times" w:hAnsi="Times"/>
          <w:i/>
        </w:rPr>
        <w:t>E. coli</w:t>
      </w:r>
      <w:r>
        <w:rPr>
          <w:rFonts w:ascii="Times" w:hAnsi="Times"/>
        </w:rPr>
        <w:t xml:space="preserve"> genomic DNA will form;</w:t>
      </w:r>
      <w:r w:rsidR="000020D0">
        <w:rPr>
          <w:rFonts w:ascii="Times" w:hAnsi="Times"/>
        </w:rPr>
        <w:t xml:space="preserve"> place the sample on ice for 10 minutes.</w:t>
      </w:r>
    </w:p>
    <w:p w14:paraId="2CADE37B" w14:textId="77777777" w:rsidR="000020D0" w:rsidRDefault="000020D0" w:rsidP="000020D0">
      <w:pPr>
        <w:pStyle w:val="ListParagraph"/>
        <w:numPr>
          <w:ilvl w:val="0"/>
          <w:numId w:val="2"/>
        </w:numPr>
        <w:jc w:val="both"/>
        <w:rPr>
          <w:rFonts w:ascii="Times" w:hAnsi="Times"/>
        </w:rPr>
      </w:pPr>
      <w:r>
        <w:rPr>
          <w:rFonts w:ascii="Times" w:hAnsi="Times"/>
        </w:rPr>
        <w:t>Centrifuge the sample for 15 minutes at 15,000 rpm at room temperature.</w:t>
      </w:r>
    </w:p>
    <w:p w14:paraId="25FCB329" w14:textId="289FEEBF" w:rsidR="000020D0" w:rsidRDefault="000020D0" w:rsidP="000020D0">
      <w:pPr>
        <w:pStyle w:val="ListParagraph"/>
        <w:numPr>
          <w:ilvl w:val="0"/>
          <w:numId w:val="2"/>
        </w:numPr>
        <w:jc w:val="both"/>
        <w:rPr>
          <w:rFonts w:ascii="Times" w:hAnsi="Times"/>
        </w:rPr>
      </w:pPr>
      <w:r>
        <w:rPr>
          <w:rFonts w:ascii="Times" w:hAnsi="Times"/>
        </w:rPr>
        <w:t xml:space="preserve">Gently transfer the supernatant to a </w:t>
      </w:r>
      <w:proofErr w:type="spellStart"/>
      <w:r>
        <w:rPr>
          <w:rFonts w:ascii="Times" w:hAnsi="Times"/>
        </w:rPr>
        <w:t>microcentrifuge</w:t>
      </w:r>
      <w:proofErr w:type="spellEnd"/>
      <w:r>
        <w:rPr>
          <w:rFonts w:ascii="Times" w:hAnsi="Times"/>
        </w:rPr>
        <w:t xml:space="preserve"> </w:t>
      </w:r>
      <w:r w:rsidR="00624A89">
        <w:rPr>
          <w:rFonts w:ascii="Times" w:hAnsi="Times"/>
        </w:rPr>
        <w:t xml:space="preserve">tube </w:t>
      </w:r>
      <w:r>
        <w:rPr>
          <w:rFonts w:ascii="Times" w:hAnsi="Times"/>
        </w:rPr>
        <w:t>containing 0.8 ml of isopropanol.  Do not transfer any white precipitate.  Inv</w:t>
      </w:r>
      <w:r w:rsidR="006A59E9">
        <w:rPr>
          <w:rFonts w:ascii="Times" w:hAnsi="Times"/>
        </w:rPr>
        <w:t>ert the tube a few times to mix</w:t>
      </w:r>
      <w:r>
        <w:rPr>
          <w:rFonts w:ascii="Times" w:hAnsi="Times"/>
        </w:rPr>
        <w:t xml:space="preserve"> and place on ice for 10 minutes.  Proceed directly to step 8 or store the sample at -20 </w:t>
      </w:r>
      <w:r w:rsidR="00996A92">
        <w:rPr>
          <w:rFonts w:ascii="Times" w:hAnsi="Times"/>
        </w:rPr>
        <w:t>°</w:t>
      </w:r>
      <w:r>
        <w:rPr>
          <w:rFonts w:ascii="Times" w:hAnsi="Times"/>
        </w:rPr>
        <w:t>C overnight.</w:t>
      </w:r>
    </w:p>
    <w:p w14:paraId="6A71FEB0" w14:textId="77777777" w:rsidR="000020D0" w:rsidRDefault="000020D0" w:rsidP="000020D0">
      <w:pPr>
        <w:pStyle w:val="ListParagraph"/>
        <w:numPr>
          <w:ilvl w:val="0"/>
          <w:numId w:val="2"/>
        </w:numPr>
        <w:jc w:val="both"/>
        <w:rPr>
          <w:rFonts w:ascii="Times" w:hAnsi="Times"/>
        </w:rPr>
      </w:pPr>
      <w:r>
        <w:rPr>
          <w:rFonts w:ascii="Times" w:hAnsi="Times"/>
        </w:rPr>
        <w:t>Centrifuge the sample for 15 minutes at 15,000 rpm at room temperature.</w:t>
      </w:r>
    </w:p>
    <w:p w14:paraId="32449B20" w14:textId="77777777" w:rsidR="000020D0" w:rsidRDefault="000020D0" w:rsidP="000020D0">
      <w:pPr>
        <w:pStyle w:val="ListParagraph"/>
        <w:numPr>
          <w:ilvl w:val="0"/>
          <w:numId w:val="2"/>
        </w:numPr>
        <w:jc w:val="both"/>
        <w:rPr>
          <w:rFonts w:ascii="Times" w:hAnsi="Times"/>
        </w:rPr>
      </w:pPr>
      <w:r>
        <w:rPr>
          <w:rFonts w:ascii="Times" w:hAnsi="Times"/>
        </w:rPr>
        <w:t>Carefully remove the supernatant, taking care to not disturb the pellet.  Add 0.5 ml of 70% ethanol, and invert the tube several times to wash the pellet.</w:t>
      </w:r>
    </w:p>
    <w:p w14:paraId="52D0C536" w14:textId="05571F34" w:rsidR="000020D0" w:rsidRPr="00996A92" w:rsidRDefault="000020D0" w:rsidP="00996A92">
      <w:pPr>
        <w:pStyle w:val="ListParagraph"/>
        <w:numPr>
          <w:ilvl w:val="0"/>
          <w:numId w:val="2"/>
        </w:numPr>
        <w:jc w:val="both"/>
        <w:rPr>
          <w:rFonts w:ascii="Times" w:hAnsi="Times"/>
        </w:rPr>
      </w:pPr>
      <w:r>
        <w:rPr>
          <w:rFonts w:ascii="Times" w:hAnsi="Times"/>
        </w:rPr>
        <w:t xml:space="preserve">Centrifuge the sample for 5 minutes at 15,000 rpm at room temperature.  </w:t>
      </w:r>
    </w:p>
    <w:p w14:paraId="2E2A8C7F" w14:textId="77777777" w:rsidR="000020D0" w:rsidRDefault="000020D0" w:rsidP="000020D0">
      <w:pPr>
        <w:pStyle w:val="ListParagraph"/>
        <w:numPr>
          <w:ilvl w:val="0"/>
          <w:numId w:val="2"/>
        </w:numPr>
        <w:jc w:val="both"/>
        <w:rPr>
          <w:rFonts w:ascii="Times" w:hAnsi="Times"/>
        </w:rPr>
      </w:pPr>
      <w:r>
        <w:rPr>
          <w:rFonts w:ascii="Times" w:hAnsi="Times"/>
        </w:rPr>
        <w:t xml:space="preserve">Remove as much of the supernatant as possible, taking care to not disturb the pellet.  </w:t>
      </w:r>
      <w:proofErr w:type="gramStart"/>
      <w:r>
        <w:rPr>
          <w:rFonts w:ascii="Times" w:hAnsi="Times"/>
        </w:rPr>
        <w:t>Air dry</w:t>
      </w:r>
      <w:proofErr w:type="gramEnd"/>
      <w:r>
        <w:rPr>
          <w:rFonts w:ascii="Times" w:hAnsi="Times"/>
        </w:rPr>
        <w:t xml:space="preserve"> the pellet for 5 to 10 minutes at room temperature.  Do not over-dry the pellet.  </w:t>
      </w:r>
    </w:p>
    <w:p w14:paraId="315CC2D9" w14:textId="77777777" w:rsidR="000020D0" w:rsidRDefault="000020D0" w:rsidP="000020D0">
      <w:pPr>
        <w:pStyle w:val="ListParagraph"/>
        <w:numPr>
          <w:ilvl w:val="1"/>
          <w:numId w:val="2"/>
        </w:numPr>
        <w:jc w:val="both"/>
        <w:rPr>
          <w:rFonts w:ascii="Times" w:hAnsi="Times"/>
        </w:rPr>
      </w:pPr>
      <w:r>
        <w:rPr>
          <w:rFonts w:ascii="Times" w:hAnsi="Times"/>
        </w:rPr>
        <w:t xml:space="preserve">Do not use a </w:t>
      </w:r>
      <w:proofErr w:type="spellStart"/>
      <w:r>
        <w:rPr>
          <w:rFonts w:ascii="Times" w:hAnsi="Times"/>
        </w:rPr>
        <w:t>SpeedVac</w:t>
      </w:r>
      <w:proofErr w:type="spellEnd"/>
      <w:r>
        <w:rPr>
          <w:rFonts w:ascii="Times" w:hAnsi="Times"/>
        </w:rPr>
        <w:t xml:space="preserve"> to dry to the DNA pellet, as this may shear the DNA.</w:t>
      </w:r>
    </w:p>
    <w:p w14:paraId="4EABC916" w14:textId="124AB4AA" w:rsidR="000020D0" w:rsidRDefault="000020D0" w:rsidP="000020D0">
      <w:pPr>
        <w:pStyle w:val="ListParagraph"/>
        <w:numPr>
          <w:ilvl w:val="0"/>
          <w:numId w:val="2"/>
        </w:numPr>
        <w:jc w:val="both"/>
        <w:rPr>
          <w:rFonts w:ascii="Times" w:hAnsi="Times"/>
        </w:rPr>
      </w:pPr>
      <w:r>
        <w:rPr>
          <w:rFonts w:ascii="Times" w:hAnsi="Times"/>
        </w:rPr>
        <w:t xml:space="preserve">Dissolve the DNA pellet in 40 </w:t>
      </w:r>
      <w:r w:rsidRPr="000020D0">
        <w:rPr>
          <w:rFonts w:ascii="Symbol" w:hAnsi="Symbol"/>
        </w:rPr>
        <w:t></w:t>
      </w:r>
      <w:r>
        <w:rPr>
          <w:rFonts w:ascii="Times" w:hAnsi="Times"/>
        </w:rPr>
        <w:t xml:space="preserve">l of </w:t>
      </w:r>
      <w:r w:rsidR="00985DD6">
        <w:rPr>
          <w:rFonts w:ascii="Times" w:hAnsi="Times"/>
        </w:rPr>
        <w:t xml:space="preserve">sterile </w:t>
      </w:r>
      <w:r>
        <w:rPr>
          <w:rFonts w:ascii="Times" w:hAnsi="Times"/>
        </w:rPr>
        <w:t xml:space="preserve">10 </w:t>
      </w:r>
      <w:proofErr w:type="spellStart"/>
      <w:r>
        <w:rPr>
          <w:rFonts w:ascii="Times" w:hAnsi="Times"/>
        </w:rPr>
        <w:t>mM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Tris</w:t>
      </w:r>
      <w:proofErr w:type="spellEnd"/>
      <w:r>
        <w:rPr>
          <w:rFonts w:ascii="Times" w:hAnsi="Times"/>
        </w:rPr>
        <w:t xml:space="preserve"> (8.0)</w:t>
      </w:r>
      <w:r w:rsidR="00996A92">
        <w:rPr>
          <w:rFonts w:ascii="Times" w:hAnsi="Times"/>
        </w:rPr>
        <w:t xml:space="preserve"> containing </w:t>
      </w:r>
      <w:r w:rsidR="00B52315">
        <w:rPr>
          <w:rFonts w:ascii="Times" w:hAnsi="Times"/>
        </w:rPr>
        <w:t xml:space="preserve">0.1 </w:t>
      </w:r>
      <w:proofErr w:type="spellStart"/>
      <w:r w:rsidR="00B52315">
        <w:rPr>
          <w:rFonts w:ascii="Times" w:hAnsi="Times"/>
        </w:rPr>
        <w:t>mM</w:t>
      </w:r>
      <w:proofErr w:type="spellEnd"/>
      <w:r w:rsidR="00B52315">
        <w:rPr>
          <w:rFonts w:ascii="Times" w:hAnsi="Times"/>
        </w:rPr>
        <w:t xml:space="preserve"> EDTA</w:t>
      </w:r>
      <w:r>
        <w:rPr>
          <w:rFonts w:ascii="Times" w:hAnsi="Times"/>
        </w:rPr>
        <w:t xml:space="preserve">.  To avoid shearing, do not mechanically </w:t>
      </w:r>
      <w:proofErr w:type="spellStart"/>
      <w:r>
        <w:rPr>
          <w:rFonts w:ascii="Times" w:hAnsi="Times"/>
        </w:rPr>
        <w:t>resuspend</w:t>
      </w:r>
      <w:proofErr w:type="spellEnd"/>
      <w:r>
        <w:rPr>
          <w:rFonts w:ascii="Times" w:hAnsi="Times"/>
        </w:rPr>
        <w:t xml:space="preserve"> the DNA.  Allow the solution to sit in</w:t>
      </w:r>
      <w:r w:rsidR="0078506C">
        <w:rPr>
          <w:rFonts w:ascii="Times" w:hAnsi="Times"/>
        </w:rPr>
        <w:t xml:space="preserve"> the tube with occasional gentle</w:t>
      </w:r>
      <w:r>
        <w:rPr>
          <w:rFonts w:ascii="Times" w:hAnsi="Times"/>
        </w:rPr>
        <w:t xml:space="preserve"> tapping of the bottom of the tube.</w:t>
      </w:r>
    </w:p>
    <w:p w14:paraId="2F4E2B0F" w14:textId="5701AA2F" w:rsidR="000020D0" w:rsidRDefault="000020D0" w:rsidP="000020D0">
      <w:pPr>
        <w:pStyle w:val="ListParagraph"/>
        <w:numPr>
          <w:ilvl w:val="0"/>
          <w:numId w:val="2"/>
        </w:numPr>
        <w:jc w:val="both"/>
        <w:rPr>
          <w:rFonts w:ascii="Times" w:hAnsi="Times"/>
        </w:rPr>
      </w:pPr>
      <w:r>
        <w:rPr>
          <w:rFonts w:ascii="Times" w:hAnsi="Times"/>
        </w:rPr>
        <w:t xml:space="preserve">Store the DNA at 4 </w:t>
      </w:r>
      <w:r w:rsidR="00B52315">
        <w:rPr>
          <w:rFonts w:ascii="Times" w:hAnsi="Times"/>
        </w:rPr>
        <w:t>°</w:t>
      </w:r>
      <w:r>
        <w:rPr>
          <w:rFonts w:ascii="Times" w:hAnsi="Times"/>
        </w:rPr>
        <w:t>C.</w:t>
      </w:r>
    </w:p>
    <w:p w14:paraId="64D69EA9" w14:textId="75EAB166" w:rsidR="000020D0" w:rsidRDefault="000020D0" w:rsidP="000020D0">
      <w:pPr>
        <w:pStyle w:val="ListParagraph"/>
        <w:numPr>
          <w:ilvl w:val="1"/>
          <w:numId w:val="2"/>
        </w:numPr>
        <w:jc w:val="both"/>
        <w:rPr>
          <w:rFonts w:ascii="Times" w:hAnsi="Times"/>
        </w:rPr>
      </w:pPr>
      <w:r>
        <w:rPr>
          <w:rFonts w:ascii="Times" w:hAnsi="Times"/>
        </w:rPr>
        <w:lastRenderedPageBreak/>
        <w:t xml:space="preserve">Storing the purified </w:t>
      </w:r>
      <w:proofErr w:type="spellStart"/>
      <w:r>
        <w:rPr>
          <w:rFonts w:ascii="Times" w:hAnsi="Times"/>
        </w:rPr>
        <w:t>bacmid</w:t>
      </w:r>
      <w:proofErr w:type="spellEnd"/>
      <w:r>
        <w:rPr>
          <w:rFonts w:ascii="Times" w:hAnsi="Times"/>
        </w:rPr>
        <w:t xml:space="preserve"> DNA at -20 </w:t>
      </w:r>
      <w:r w:rsidR="00B52315">
        <w:rPr>
          <w:rFonts w:ascii="Times" w:hAnsi="Times"/>
        </w:rPr>
        <w:t>°</w:t>
      </w:r>
      <w:r>
        <w:rPr>
          <w:rFonts w:ascii="Times" w:hAnsi="Times"/>
        </w:rPr>
        <w:t>C is not recommended as repeated freezing and thawing may shear the DNA.</w:t>
      </w:r>
    </w:p>
    <w:p w14:paraId="1891ACC9" w14:textId="47A49E93" w:rsidR="000020D0" w:rsidRDefault="000020D0" w:rsidP="000020D0">
      <w:pPr>
        <w:pStyle w:val="ListParagraph"/>
        <w:numPr>
          <w:ilvl w:val="1"/>
          <w:numId w:val="2"/>
        </w:numPr>
        <w:jc w:val="both"/>
        <w:rPr>
          <w:rFonts w:ascii="Times" w:hAnsi="Times"/>
        </w:rPr>
      </w:pPr>
      <w:proofErr w:type="spellStart"/>
      <w:r>
        <w:rPr>
          <w:rFonts w:ascii="Times" w:hAnsi="Times"/>
        </w:rPr>
        <w:t>Bacmid</w:t>
      </w:r>
      <w:proofErr w:type="spellEnd"/>
      <w:r>
        <w:rPr>
          <w:rFonts w:ascii="Times" w:hAnsi="Times"/>
        </w:rPr>
        <w:t xml:space="preserve"> DNA stored at 4 </w:t>
      </w:r>
      <w:r w:rsidR="00B52315">
        <w:rPr>
          <w:rFonts w:ascii="Times" w:hAnsi="Times"/>
        </w:rPr>
        <w:t>°</w:t>
      </w:r>
      <w:r>
        <w:rPr>
          <w:rFonts w:ascii="Times" w:hAnsi="Times"/>
        </w:rPr>
        <w:t>C is stable for ~2 weeks.</w:t>
      </w:r>
    </w:p>
    <w:p w14:paraId="279E6A5F" w14:textId="77777777" w:rsidR="00481BCA" w:rsidRDefault="00481BCA" w:rsidP="00D84D50">
      <w:pPr>
        <w:pStyle w:val="ListParagraph"/>
        <w:numPr>
          <w:ilvl w:val="0"/>
          <w:numId w:val="2"/>
        </w:numPr>
        <w:jc w:val="both"/>
        <w:rPr>
          <w:rFonts w:ascii="Times" w:hAnsi="Times"/>
        </w:rPr>
      </w:pPr>
      <w:r>
        <w:rPr>
          <w:rFonts w:ascii="Times" w:hAnsi="Times"/>
        </w:rPr>
        <w:t>Proceed to analyze the</w:t>
      </w:r>
      <w:r w:rsidR="00D84D50">
        <w:rPr>
          <w:rFonts w:ascii="Times" w:hAnsi="Times"/>
        </w:rPr>
        <w:t xml:space="preserve"> recombinant </w:t>
      </w:r>
      <w:proofErr w:type="spellStart"/>
      <w:r w:rsidR="00D84D50">
        <w:rPr>
          <w:rFonts w:ascii="Times" w:hAnsi="Times"/>
        </w:rPr>
        <w:t>bacmid</w:t>
      </w:r>
      <w:proofErr w:type="spellEnd"/>
      <w:r w:rsidR="00D84D50">
        <w:rPr>
          <w:rFonts w:ascii="Times" w:hAnsi="Times"/>
        </w:rPr>
        <w:t xml:space="preserve"> DNA by PCR (protocol below)</w:t>
      </w:r>
      <w:r>
        <w:rPr>
          <w:rFonts w:ascii="Times" w:hAnsi="Times"/>
        </w:rPr>
        <w:t>,</w:t>
      </w:r>
      <w:r w:rsidR="00D84D50">
        <w:rPr>
          <w:rFonts w:ascii="Times" w:hAnsi="Times"/>
        </w:rPr>
        <w:t xml:space="preserve"> or to transfect the DNA into insect cells (separate protocol available on the </w:t>
      </w:r>
      <w:proofErr w:type="spellStart"/>
      <w:r w:rsidR="00D84D50">
        <w:rPr>
          <w:rFonts w:ascii="Times" w:hAnsi="Times"/>
        </w:rPr>
        <w:t>Sondek</w:t>
      </w:r>
      <w:proofErr w:type="spellEnd"/>
      <w:r w:rsidR="00D84D50">
        <w:rPr>
          <w:rFonts w:ascii="Times" w:hAnsi="Times"/>
        </w:rPr>
        <w:t xml:space="preserve"> lab website).</w:t>
      </w:r>
    </w:p>
    <w:p w14:paraId="03637FB4" w14:textId="77777777" w:rsidR="00481BCA" w:rsidRDefault="00481BCA" w:rsidP="00481BCA">
      <w:pPr>
        <w:jc w:val="both"/>
        <w:rPr>
          <w:rFonts w:ascii="Times" w:hAnsi="Times"/>
        </w:rPr>
      </w:pPr>
    </w:p>
    <w:p w14:paraId="2DDE6E33" w14:textId="77777777" w:rsidR="00985DD6" w:rsidRDefault="00985DD6" w:rsidP="00481BCA">
      <w:pPr>
        <w:jc w:val="both"/>
        <w:rPr>
          <w:rFonts w:ascii="Times" w:hAnsi="Times"/>
        </w:rPr>
      </w:pPr>
    </w:p>
    <w:p w14:paraId="4936750A" w14:textId="1502B3C4" w:rsidR="00985DD6" w:rsidRDefault="00985DD6" w:rsidP="00481BCA">
      <w:pPr>
        <w:jc w:val="both"/>
        <w:rPr>
          <w:rFonts w:ascii="Times" w:hAnsi="Times"/>
          <w:b/>
        </w:rPr>
      </w:pPr>
      <w:r>
        <w:rPr>
          <w:rFonts w:ascii="Times" w:hAnsi="Times"/>
          <w:b/>
        </w:rPr>
        <w:t>Solutions:</w:t>
      </w:r>
    </w:p>
    <w:p w14:paraId="3E4FC343" w14:textId="20902C8D" w:rsidR="00985DD6" w:rsidRDefault="00985DD6" w:rsidP="00481BCA">
      <w:pPr>
        <w:jc w:val="both"/>
        <w:rPr>
          <w:rFonts w:ascii="Times" w:hAnsi="Times"/>
        </w:rPr>
      </w:pPr>
      <w:r>
        <w:rPr>
          <w:rFonts w:ascii="Times" w:hAnsi="Times"/>
        </w:rPr>
        <w:t xml:space="preserve">Solution I: 15 </w:t>
      </w:r>
      <w:proofErr w:type="spellStart"/>
      <w:r>
        <w:rPr>
          <w:rFonts w:ascii="Times" w:hAnsi="Times"/>
        </w:rPr>
        <w:t>mM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Tris</w:t>
      </w:r>
      <w:proofErr w:type="spellEnd"/>
      <w:r>
        <w:rPr>
          <w:rFonts w:ascii="Times" w:hAnsi="Times"/>
        </w:rPr>
        <w:t xml:space="preserve"> (8.0), 10 </w:t>
      </w:r>
      <w:proofErr w:type="spellStart"/>
      <w:r>
        <w:rPr>
          <w:rFonts w:ascii="Times" w:hAnsi="Times"/>
        </w:rPr>
        <w:t>mM</w:t>
      </w:r>
      <w:proofErr w:type="spellEnd"/>
      <w:r>
        <w:rPr>
          <w:rFonts w:ascii="Times" w:hAnsi="Times"/>
        </w:rPr>
        <w:t xml:space="preserve"> EDTA, 100 </w:t>
      </w:r>
      <w:r w:rsidRPr="00985DD6">
        <w:rPr>
          <w:rFonts w:ascii="Symbol" w:hAnsi="Symbol"/>
        </w:rPr>
        <w:t></w:t>
      </w:r>
      <w:r>
        <w:rPr>
          <w:rFonts w:ascii="Times" w:hAnsi="Times"/>
        </w:rPr>
        <w:t xml:space="preserve">g/ml </w:t>
      </w:r>
      <w:proofErr w:type="spellStart"/>
      <w:r>
        <w:rPr>
          <w:rFonts w:ascii="Times" w:hAnsi="Times"/>
        </w:rPr>
        <w:t>RNase</w:t>
      </w:r>
      <w:proofErr w:type="spellEnd"/>
      <w:r>
        <w:rPr>
          <w:rFonts w:ascii="Times" w:hAnsi="Times"/>
        </w:rPr>
        <w:t xml:space="preserve"> A (filter sterilize and store at 4 </w:t>
      </w:r>
      <w:r w:rsidR="00CF6ECC">
        <w:rPr>
          <w:rFonts w:ascii="Times" w:hAnsi="Times"/>
        </w:rPr>
        <w:t>°</w:t>
      </w:r>
      <w:r>
        <w:rPr>
          <w:rFonts w:ascii="Times" w:hAnsi="Times"/>
        </w:rPr>
        <w:t>C)</w:t>
      </w:r>
    </w:p>
    <w:p w14:paraId="3F0C6072" w14:textId="77777777" w:rsidR="00985DD6" w:rsidRDefault="00985DD6" w:rsidP="00481BCA">
      <w:pPr>
        <w:jc w:val="both"/>
        <w:rPr>
          <w:rFonts w:ascii="Times" w:hAnsi="Times"/>
        </w:rPr>
      </w:pPr>
    </w:p>
    <w:p w14:paraId="2BC26E5F" w14:textId="2CAFAE36" w:rsidR="00985DD6" w:rsidRDefault="00985DD6" w:rsidP="00481BCA">
      <w:pPr>
        <w:jc w:val="both"/>
        <w:rPr>
          <w:rFonts w:ascii="Times" w:hAnsi="Times"/>
        </w:rPr>
      </w:pPr>
      <w:r>
        <w:rPr>
          <w:rFonts w:ascii="Times" w:hAnsi="Times"/>
        </w:rPr>
        <w:t xml:space="preserve">Solution II: 0.2 N </w:t>
      </w:r>
      <w:proofErr w:type="spellStart"/>
      <w:r>
        <w:rPr>
          <w:rFonts w:ascii="Times" w:hAnsi="Times"/>
        </w:rPr>
        <w:t>NaOH</w:t>
      </w:r>
      <w:proofErr w:type="spellEnd"/>
      <w:r>
        <w:rPr>
          <w:rFonts w:ascii="Times" w:hAnsi="Times"/>
        </w:rPr>
        <w:t>, 1% SDS</w:t>
      </w:r>
      <w:r w:rsidR="006A59E9">
        <w:rPr>
          <w:rFonts w:ascii="Times" w:hAnsi="Times"/>
        </w:rPr>
        <w:t xml:space="preserve"> (prepare fresh for each experiment)</w:t>
      </w:r>
    </w:p>
    <w:p w14:paraId="450B8D40" w14:textId="77777777" w:rsidR="00985DD6" w:rsidRDefault="00985DD6" w:rsidP="00481BCA">
      <w:pPr>
        <w:jc w:val="both"/>
        <w:rPr>
          <w:rFonts w:ascii="Times" w:hAnsi="Times"/>
        </w:rPr>
      </w:pPr>
    </w:p>
    <w:p w14:paraId="6736ACC9" w14:textId="789D8B85" w:rsidR="00985DD6" w:rsidRPr="00985DD6" w:rsidRDefault="00985DD6" w:rsidP="00481BCA">
      <w:pPr>
        <w:jc w:val="both"/>
        <w:rPr>
          <w:rFonts w:ascii="Times" w:hAnsi="Times"/>
        </w:rPr>
      </w:pPr>
      <w:r>
        <w:rPr>
          <w:rFonts w:ascii="Times" w:hAnsi="Times"/>
        </w:rPr>
        <w:t>Solution III: 3 M potassium acetate (5.5) (autoclave and store at room temperature)</w:t>
      </w:r>
    </w:p>
    <w:p w14:paraId="4934EAA8" w14:textId="77777777" w:rsidR="00985DD6" w:rsidRDefault="00985DD6" w:rsidP="00481BCA">
      <w:pPr>
        <w:jc w:val="both"/>
        <w:rPr>
          <w:rFonts w:ascii="Times" w:hAnsi="Times"/>
        </w:rPr>
      </w:pPr>
    </w:p>
    <w:p w14:paraId="0E1B09B3" w14:textId="77777777" w:rsidR="00985DD6" w:rsidRDefault="00985DD6" w:rsidP="00481BCA">
      <w:pPr>
        <w:jc w:val="both"/>
        <w:rPr>
          <w:rFonts w:ascii="Times" w:hAnsi="Times"/>
        </w:rPr>
      </w:pPr>
    </w:p>
    <w:p w14:paraId="66F8781E" w14:textId="77777777" w:rsidR="00DA491F" w:rsidRPr="00481BCA" w:rsidRDefault="00DA491F" w:rsidP="00481BCA">
      <w:pPr>
        <w:jc w:val="both"/>
        <w:rPr>
          <w:rFonts w:ascii="Times" w:hAnsi="Times"/>
        </w:rPr>
      </w:pPr>
    </w:p>
    <w:p w14:paraId="1B26D0EB" w14:textId="3BED40F2" w:rsidR="00D84D50" w:rsidRPr="00481BCA" w:rsidRDefault="0078506C" w:rsidP="00481BCA">
      <w:pPr>
        <w:jc w:val="both"/>
        <w:rPr>
          <w:rFonts w:ascii="Times" w:hAnsi="Times"/>
        </w:rPr>
      </w:pPr>
      <w:r>
        <w:rPr>
          <w:rFonts w:ascii="Times" w:hAnsi="Times"/>
          <w:b/>
        </w:rPr>
        <w:t>Analysis of</w:t>
      </w:r>
      <w:r w:rsidR="00D84D50" w:rsidRPr="00481BCA">
        <w:rPr>
          <w:rFonts w:ascii="Times" w:hAnsi="Times"/>
          <w:b/>
        </w:rPr>
        <w:t xml:space="preserve"> </w:t>
      </w:r>
      <w:proofErr w:type="spellStart"/>
      <w:r w:rsidR="00D84D50" w:rsidRPr="00481BCA">
        <w:rPr>
          <w:rFonts w:ascii="Times" w:hAnsi="Times"/>
          <w:b/>
        </w:rPr>
        <w:t>bacmid</w:t>
      </w:r>
      <w:proofErr w:type="spellEnd"/>
      <w:r w:rsidR="00D84D50" w:rsidRPr="00481BCA">
        <w:rPr>
          <w:rFonts w:ascii="Times" w:hAnsi="Times"/>
          <w:b/>
        </w:rPr>
        <w:t xml:space="preserve"> DNA by PCR</w:t>
      </w:r>
    </w:p>
    <w:p w14:paraId="3B298783" w14:textId="6525009F" w:rsidR="00481BCA" w:rsidRDefault="00D84D50" w:rsidP="00D84D50">
      <w:pPr>
        <w:jc w:val="both"/>
        <w:rPr>
          <w:rFonts w:ascii="Times" w:hAnsi="Times"/>
        </w:rPr>
      </w:pPr>
      <w:r w:rsidRPr="00D84D50">
        <w:rPr>
          <w:rFonts w:ascii="Times" w:hAnsi="Times"/>
          <w:b/>
        </w:rPr>
        <w:t>Notes</w:t>
      </w:r>
      <w:r>
        <w:rPr>
          <w:rFonts w:ascii="Times" w:hAnsi="Times"/>
        </w:rPr>
        <w:t xml:space="preserve">: Recombinant </w:t>
      </w:r>
      <w:proofErr w:type="spellStart"/>
      <w:r>
        <w:rPr>
          <w:rFonts w:ascii="Times" w:hAnsi="Times"/>
        </w:rPr>
        <w:t>bacmid</w:t>
      </w:r>
      <w:proofErr w:type="spellEnd"/>
      <w:r>
        <w:rPr>
          <w:rFonts w:ascii="Times" w:hAnsi="Times"/>
        </w:rPr>
        <w:t xml:space="preserve"> is &gt;135 </w:t>
      </w:r>
      <w:proofErr w:type="gramStart"/>
      <w:r>
        <w:rPr>
          <w:rFonts w:ascii="Times" w:hAnsi="Times"/>
        </w:rPr>
        <w:t>kb</w:t>
      </w:r>
      <w:proofErr w:type="gramEnd"/>
      <w:r>
        <w:rPr>
          <w:rFonts w:ascii="Times" w:hAnsi="Times"/>
        </w:rPr>
        <w:t xml:space="preserve"> in size.  Since restriction analysis is difficult to perform with DNA of this size, PCR analysis is recommended to verify the presence of your gene of interest in the recombinant </w:t>
      </w:r>
      <w:proofErr w:type="spellStart"/>
      <w:r>
        <w:rPr>
          <w:rFonts w:ascii="Times" w:hAnsi="Times"/>
        </w:rPr>
        <w:t>bacmid</w:t>
      </w:r>
      <w:proofErr w:type="spellEnd"/>
      <w:r>
        <w:rPr>
          <w:rFonts w:ascii="Times" w:hAnsi="Times"/>
        </w:rPr>
        <w:t>.  Use of the M13 primer pair (sequence</w:t>
      </w:r>
      <w:r w:rsidR="00DA491F">
        <w:rPr>
          <w:rFonts w:ascii="Times" w:hAnsi="Times"/>
        </w:rPr>
        <w:t>s</w:t>
      </w:r>
      <w:r>
        <w:rPr>
          <w:rFonts w:ascii="Times" w:hAnsi="Times"/>
        </w:rPr>
        <w:t xml:space="preserve"> below), which hybridizes to sites flanking the mini-</w:t>
      </w:r>
      <w:r w:rsidRPr="00D84D50">
        <w:rPr>
          <w:rFonts w:ascii="Times" w:hAnsi="Times"/>
          <w:i/>
        </w:rPr>
        <w:t>att</w:t>
      </w:r>
      <w:r>
        <w:rPr>
          <w:rFonts w:ascii="Times" w:hAnsi="Times"/>
        </w:rPr>
        <w:t xml:space="preserve">Tn7 site within the </w:t>
      </w:r>
      <w:proofErr w:type="spellStart"/>
      <w:r w:rsidRPr="00D84D50">
        <w:rPr>
          <w:rFonts w:ascii="Times" w:hAnsi="Times"/>
          <w:i/>
        </w:rPr>
        <w:t>lac</w:t>
      </w:r>
      <w:r w:rsidRPr="00D84D50">
        <w:rPr>
          <w:rFonts w:ascii="Times" w:hAnsi="Times"/>
        </w:rPr>
        <w:t>Z</w:t>
      </w:r>
      <w:proofErr w:type="spellEnd"/>
      <w:r w:rsidRPr="00D84D50">
        <w:rPr>
          <w:rFonts w:ascii="Symbol" w:hAnsi="Symbol"/>
        </w:rPr>
        <w:t></w:t>
      </w:r>
      <w:r>
        <w:rPr>
          <w:rFonts w:ascii="Times" w:hAnsi="Times"/>
        </w:rPr>
        <w:t>-complementation region, will facilitate PCR analysis.</w:t>
      </w:r>
      <w:r w:rsidR="00481BCA">
        <w:rPr>
          <w:rFonts w:ascii="Times" w:hAnsi="Times"/>
        </w:rPr>
        <w:t xml:space="preserve">  The following guidelines assume that you are using the M13 primer pair for analysis of your </w:t>
      </w:r>
      <w:proofErr w:type="spellStart"/>
      <w:r w:rsidR="00481BCA">
        <w:rPr>
          <w:rFonts w:ascii="Times" w:hAnsi="Times"/>
        </w:rPr>
        <w:t>bacmid</w:t>
      </w:r>
      <w:proofErr w:type="spellEnd"/>
      <w:r w:rsidR="00481BCA">
        <w:rPr>
          <w:rFonts w:ascii="Times" w:hAnsi="Times"/>
        </w:rPr>
        <w:t xml:space="preserve"> DNA.  In this case, following </w:t>
      </w:r>
      <w:proofErr w:type="spellStart"/>
      <w:r w:rsidR="00481BCA">
        <w:rPr>
          <w:rFonts w:ascii="Times" w:hAnsi="Times"/>
        </w:rPr>
        <w:t>agarose</w:t>
      </w:r>
      <w:proofErr w:type="spellEnd"/>
      <w:r w:rsidR="00481BCA">
        <w:rPr>
          <w:rFonts w:ascii="Times" w:hAnsi="Times"/>
        </w:rPr>
        <w:t xml:space="preserve"> gel electrophoresis, you should expect a PCR product of ~2,400 </w:t>
      </w:r>
      <w:proofErr w:type="spellStart"/>
      <w:r w:rsidR="00481BCA">
        <w:rPr>
          <w:rFonts w:ascii="Times" w:hAnsi="Times"/>
        </w:rPr>
        <w:t>bp</w:t>
      </w:r>
      <w:proofErr w:type="spellEnd"/>
      <w:r w:rsidR="00481BCA">
        <w:rPr>
          <w:rFonts w:ascii="Times" w:hAnsi="Times"/>
        </w:rPr>
        <w:t xml:space="preserve"> + the size of your insert.  </w:t>
      </w:r>
      <w:proofErr w:type="spellStart"/>
      <w:r w:rsidR="00481BCA">
        <w:rPr>
          <w:rFonts w:ascii="Times" w:hAnsi="Times"/>
        </w:rPr>
        <w:t>Bacmid</w:t>
      </w:r>
      <w:proofErr w:type="spellEnd"/>
      <w:r w:rsidR="00481BCA">
        <w:rPr>
          <w:rFonts w:ascii="Times" w:hAnsi="Times"/>
        </w:rPr>
        <w:t xml:space="preserve"> DNA may also be analyzed using gene-specific primers, or a combination of an M13 primer and a gene-specific primer.  In these cases, you will need to determine the expected size of the PCR product yourself.  ‘Empty’ </w:t>
      </w:r>
      <w:proofErr w:type="spellStart"/>
      <w:r w:rsidR="00481BCA">
        <w:rPr>
          <w:rFonts w:ascii="Times" w:hAnsi="Times"/>
        </w:rPr>
        <w:t>bacmid</w:t>
      </w:r>
      <w:proofErr w:type="spellEnd"/>
      <w:r w:rsidR="00481BCA">
        <w:rPr>
          <w:rFonts w:ascii="Times" w:hAnsi="Times"/>
        </w:rPr>
        <w:t xml:space="preserve"> should yield a PCR product of ~300 </w:t>
      </w:r>
      <w:proofErr w:type="spellStart"/>
      <w:r w:rsidR="00481BCA">
        <w:rPr>
          <w:rFonts w:ascii="Times" w:hAnsi="Times"/>
        </w:rPr>
        <w:t>bp.</w:t>
      </w:r>
      <w:proofErr w:type="spellEnd"/>
    </w:p>
    <w:p w14:paraId="434072A6" w14:textId="77777777" w:rsidR="00481BCA" w:rsidRDefault="00481BCA" w:rsidP="00D84D50">
      <w:pPr>
        <w:jc w:val="both"/>
        <w:rPr>
          <w:rFonts w:ascii="Times" w:hAnsi="Times"/>
        </w:rPr>
      </w:pPr>
    </w:p>
    <w:p w14:paraId="1BE44805" w14:textId="77777777" w:rsidR="00705EAF" w:rsidRDefault="00705EAF" w:rsidP="00D84D50">
      <w:pPr>
        <w:jc w:val="both"/>
        <w:rPr>
          <w:rFonts w:ascii="Times" w:hAnsi="Times"/>
        </w:rPr>
      </w:pPr>
    </w:p>
    <w:p w14:paraId="1A7B1DC7" w14:textId="77777777" w:rsidR="00D84D50" w:rsidRDefault="00161B9B" w:rsidP="00481BCA">
      <w:pPr>
        <w:pStyle w:val="ListParagraph"/>
        <w:numPr>
          <w:ilvl w:val="0"/>
          <w:numId w:val="3"/>
        </w:numPr>
        <w:jc w:val="both"/>
        <w:rPr>
          <w:rFonts w:ascii="Times" w:hAnsi="Times"/>
        </w:rPr>
      </w:pPr>
      <w:r>
        <w:rPr>
          <w:rFonts w:ascii="Times" w:hAnsi="Times"/>
        </w:rPr>
        <w:t xml:space="preserve">For each sample, set up the following 50 </w:t>
      </w:r>
      <w:r w:rsidRPr="00161B9B">
        <w:rPr>
          <w:rFonts w:ascii="Symbol" w:hAnsi="Symbol"/>
        </w:rPr>
        <w:t></w:t>
      </w:r>
      <w:r>
        <w:rPr>
          <w:rFonts w:ascii="Times" w:hAnsi="Times"/>
        </w:rPr>
        <w:t xml:space="preserve">l reaction in a sterile 200 </w:t>
      </w:r>
      <w:r w:rsidRPr="00161B9B">
        <w:rPr>
          <w:rFonts w:ascii="Symbol" w:hAnsi="Symbol"/>
        </w:rPr>
        <w:t></w:t>
      </w:r>
      <w:r>
        <w:rPr>
          <w:rFonts w:ascii="Times" w:hAnsi="Times"/>
        </w:rPr>
        <w:t>l PCR tube:</w:t>
      </w:r>
    </w:p>
    <w:p w14:paraId="00321C1C" w14:textId="77777777" w:rsidR="00161B9B" w:rsidRDefault="00161B9B" w:rsidP="00161B9B">
      <w:pPr>
        <w:pStyle w:val="ListParagraph"/>
        <w:ind w:left="360"/>
        <w:jc w:val="both"/>
        <w:rPr>
          <w:rFonts w:ascii="Times" w:hAnsi="Times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530"/>
        <w:gridCol w:w="2673"/>
        <w:gridCol w:w="2673"/>
      </w:tblGrid>
      <w:tr w:rsidR="00161B9B" w:rsidRPr="00161B9B" w14:paraId="3E414788" w14:textId="77777777" w:rsidTr="00161B9B">
        <w:tc>
          <w:tcPr>
            <w:tcW w:w="3530" w:type="dxa"/>
          </w:tcPr>
          <w:p w14:paraId="1D6D1638" w14:textId="77777777" w:rsidR="00161B9B" w:rsidRPr="00161B9B" w:rsidRDefault="00161B9B" w:rsidP="00161B9B">
            <w:pPr>
              <w:pStyle w:val="ListParagraph"/>
              <w:ind w:left="0"/>
              <w:jc w:val="both"/>
              <w:rPr>
                <w:rFonts w:ascii="Times" w:hAnsi="Times"/>
              </w:rPr>
            </w:pPr>
          </w:p>
        </w:tc>
        <w:tc>
          <w:tcPr>
            <w:tcW w:w="2673" w:type="dxa"/>
          </w:tcPr>
          <w:p w14:paraId="7CFA3716" w14:textId="77777777" w:rsidR="00161B9B" w:rsidRPr="00161B9B" w:rsidRDefault="00161B9B" w:rsidP="00161B9B">
            <w:pPr>
              <w:pStyle w:val="ListParagraph"/>
              <w:ind w:left="0"/>
              <w:jc w:val="center"/>
              <w:rPr>
                <w:rFonts w:ascii="Times" w:hAnsi="Times"/>
                <w:b/>
              </w:rPr>
            </w:pPr>
            <w:proofErr w:type="gramStart"/>
            <w:r>
              <w:rPr>
                <w:rFonts w:ascii="Times" w:hAnsi="Times"/>
                <w:b/>
              </w:rPr>
              <w:t>stock</w:t>
            </w:r>
            <w:proofErr w:type="gramEnd"/>
          </w:p>
        </w:tc>
        <w:tc>
          <w:tcPr>
            <w:tcW w:w="2673" w:type="dxa"/>
          </w:tcPr>
          <w:p w14:paraId="26203FEE" w14:textId="77777777" w:rsidR="00161B9B" w:rsidRPr="00161B9B" w:rsidRDefault="00161B9B" w:rsidP="00161B9B">
            <w:pPr>
              <w:pStyle w:val="ListParagraph"/>
              <w:ind w:left="0"/>
              <w:jc w:val="center"/>
              <w:rPr>
                <w:rFonts w:ascii="Times" w:hAnsi="Times"/>
                <w:b/>
              </w:rPr>
            </w:pPr>
            <w:proofErr w:type="gramStart"/>
            <w:r>
              <w:rPr>
                <w:rFonts w:ascii="Times" w:hAnsi="Times"/>
                <w:b/>
              </w:rPr>
              <w:t>add</w:t>
            </w:r>
            <w:proofErr w:type="gramEnd"/>
            <w:r>
              <w:rPr>
                <w:rFonts w:ascii="Times" w:hAnsi="Times"/>
                <w:b/>
              </w:rPr>
              <w:t xml:space="preserve"> (</w:t>
            </w:r>
            <w:r w:rsidRPr="00161B9B">
              <w:rPr>
                <w:rFonts w:ascii="Symbol" w:hAnsi="Symbol"/>
                <w:b/>
              </w:rPr>
              <w:t></w:t>
            </w:r>
            <w:r>
              <w:rPr>
                <w:rFonts w:ascii="Times" w:hAnsi="Times"/>
                <w:b/>
              </w:rPr>
              <w:t>l)</w:t>
            </w:r>
          </w:p>
        </w:tc>
      </w:tr>
      <w:tr w:rsidR="00161B9B" w:rsidRPr="00161B9B" w14:paraId="1204EB1C" w14:textId="77777777" w:rsidTr="00161B9B">
        <w:tc>
          <w:tcPr>
            <w:tcW w:w="3530" w:type="dxa"/>
          </w:tcPr>
          <w:p w14:paraId="6961FD7A" w14:textId="77777777" w:rsidR="00161B9B" w:rsidRPr="00161B9B" w:rsidRDefault="00161B9B" w:rsidP="00161B9B">
            <w:pPr>
              <w:pStyle w:val="ListParagraph"/>
              <w:ind w:left="0"/>
              <w:jc w:val="both"/>
              <w:rPr>
                <w:rFonts w:ascii="Times" w:hAnsi="Times"/>
              </w:rPr>
            </w:pPr>
            <w:r w:rsidRPr="00161B9B">
              <w:rPr>
                <w:rFonts w:ascii="Times" w:hAnsi="Times"/>
              </w:rPr>
              <w:t xml:space="preserve">1X </w:t>
            </w:r>
            <w:proofErr w:type="spellStart"/>
            <w:r w:rsidRPr="00161B9B">
              <w:rPr>
                <w:rFonts w:ascii="Times" w:hAnsi="Times"/>
              </w:rPr>
              <w:t>Pfu</w:t>
            </w:r>
            <w:proofErr w:type="spellEnd"/>
            <w:r w:rsidRPr="00161B9B">
              <w:rPr>
                <w:rFonts w:ascii="Times" w:hAnsi="Times"/>
              </w:rPr>
              <w:t xml:space="preserve"> polymerase buffer</w:t>
            </w:r>
          </w:p>
        </w:tc>
        <w:tc>
          <w:tcPr>
            <w:tcW w:w="2673" w:type="dxa"/>
          </w:tcPr>
          <w:p w14:paraId="6F461FB0" w14:textId="77777777" w:rsidR="00161B9B" w:rsidRPr="00161B9B" w:rsidRDefault="00161B9B" w:rsidP="00161B9B">
            <w:pPr>
              <w:pStyle w:val="ListParagraph"/>
              <w:ind w:left="0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10X</w:t>
            </w:r>
          </w:p>
        </w:tc>
        <w:tc>
          <w:tcPr>
            <w:tcW w:w="2673" w:type="dxa"/>
          </w:tcPr>
          <w:p w14:paraId="703A9221" w14:textId="77777777" w:rsidR="00161B9B" w:rsidRPr="00161B9B" w:rsidRDefault="00161B9B" w:rsidP="00161B9B">
            <w:pPr>
              <w:pStyle w:val="ListParagraph"/>
              <w:ind w:left="0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5</w:t>
            </w:r>
          </w:p>
        </w:tc>
      </w:tr>
      <w:tr w:rsidR="00161B9B" w:rsidRPr="00161B9B" w14:paraId="2A8A69C6" w14:textId="77777777" w:rsidTr="00161B9B">
        <w:tc>
          <w:tcPr>
            <w:tcW w:w="3530" w:type="dxa"/>
          </w:tcPr>
          <w:p w14:paraId="61BC5308" w14:textId="77777777" w:rsidR="00161B9B" w:rsidRPr="00161B9B" w:rsidRDefault="00161B9B" w:rsidP="00161B9B">
            <w:pPr>
              <w:pStyle w:val="ListParagraph"/>
              <w:ind w:left="0"/>
              <w:jc w:val="both"/>
              <w:rPr>
                <w:rFonts w:ascii="Times" w:hAnsi="Times"/>
              </w:rPr>
            </w:pPr>
            <w:r w:rsidRPr="00161B9B">
              <w:rPr>
                <w:rFonts w:ascii="Times" w:hAnsi="Times"/>
              </w:rPr>
              <w:t xml:space="preserve">0.2 </w:t>
            </w:r>
            <w:proofErr w:type="spellStart"/>
            <w:r w:rsidRPr="00161B9B">
              <w:rPr>
                <w:rFonts w:ascii="Times" w:hAnsi="Times"/>
              </w:rPr>
              <w:t>mM</w:t>
            </w:r>
            <w:proofErr w:type="spellEnd"/>
            <w:r w:rsidRPr="00161B9B">
              <w:rPr>
                <w:rFonts w:ascii="Times" w:hAnsi="Times"/>
              </w:rPr>
              <w:t xml:space="preserve"> </w:t>
            </w:r>
            <w:proofErr w:type="spellStart"/>
            <w:r w:rsidRPr="00161B9B">
              <w:rPr>
                <w:rFonts w:ascii="Times" w:hAnsi="Times"/>
              </w:rPr>
              <w:t>dNTPs</w:t>
            </w:r>
            <w:proofErr w:type="spellEnd"/>
            <w:r w:rsidRPr="00161B9B">
              <w:rPr>
                <w:rFonts w:ascii="Times" w:hAnsi="Times"/>
              </w:rPr>
              <w:t xml:space="preserve"> (each)</w:t>
            </w:r>
          </w:p>
        </w:tc>
        <w:tc>
          <w:tcPr>
            <w:tcW w:w="2673" w:type="dxa"/>
          </w:tcPr>
          <w:p w14:paraId="10CA4D26" w14:textId="77777777" w:rsidR="00161B9B" w:rsidRPr="00161B9B" w:rsidRDefault="00161B9B" w:rsidP="00161B9B">
            <w:pPr>
              <w:pStyle w:val="ListParagraph"/>
              <w:ind w:left="0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10 </w:t>
            </w:r>
            <w:proofErr w:type="spellStart"/>
            <w:r>
              <w:rPr>
                <w:rFonts w:ascii="Times" w:hAnsi="Times"/>
              </w:rPr>
              <w:t>mM</w:t>
            </w:r>
            <w:proofErr w:type="spellEnd"/>
            <w:r>
              <w:rPr>
                <w:rFonts w:ascii="Times" w:hAnsi="Times"/>
              </w:rPr>
              <w:t xml:space="preserve"> each</w:t>
            </w:r>
          </w:p>
        </w:tc>
        <w:tc>
          <w:tcPr>
            <w:tcW w:w="2673" w:type="dxa"/>
          </w:tcPr>
          <w:p w14:paraId="3BFE6C38" w14:textId="77777777" w:rsidR="00161B9B" w:rsidRPr="00161B9B" w:rsidRDefault="00161B9B" w:rsidP="00161B9B">
            <w:pPr>
              <w:pStyle w:val="ListParagraph"/>
              <w:ind w:left="0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1</w:t>
            </w:r>
          </w:p>
        </w:tc>
      </w:tr>
      <w:tr w:rsidR="00161B9B" w:rsidRPr="00161B9B" w14:paraId="2C52BA43" w14:textId="77777777" w:rsidTr="00161B9B">
        <w:tc>
          <w:tcPr>
            <w:tcW w:w="3530" w:type="dxa"/>
          </w:tcPr>
          <w:p w14:paraId="1B08AB12" w14:textId="2D2A0363" w:rsidR="00161B9B" w:rsidRPr="00161B9B" w:rsidRDefault="00161B9B" w:rsidP="00161B9B">
            <w:pPr>
              <w:pStyle w:val="ListParagraph"/>
              <w:ind w:left="0"/>
              <w:jc w:val="both"/>
              <w:rPr>
                <w:rFonts w:ascii="Times" w:hAnsi="Times"/>
              </w:rPr>
            </w:pPr>
            <w:r w:rsidRPr="00161B9B">
              <w:rPr>
                <w:rFonts w:ascii="Times" w:hAnsi="Times"/>
              </w:rPr>
              <w:t xml:space="preserve">0.25 </w:t>
            </w:r>
            <w:r w:rsidRPr="00161B9B">
              <w:rPr>
                <w:rFonts w:ascii="Symbol" w:hAnsi="Symbol"/>
              </w:rPr>
              <w:t></w:t>
            </w:r>
            <w:r w:rsidR="00C0151D">
              <w:rPr>
                <w:rFonts w:ascii="Times" w:hAnsi="Times"/>
              </w:rPr>
              <w:t>M M13 sense</w:t>
            </w:r>
            <w:r w:rsidRPr="00161B9B">
              <w:rPr>
                <w:rFonts w:ascii="Times" w:hAnsi="Times"/>
              </w:rPr>
              <w:t xml:space="preserve"> primer</w:t>
            </w:r>
          </w:p>
        </w:tc>
        <w:tc>
          <w:tcPr>
            <w:tcW w:w="2673" w:type="dxa"/>
          </w:tcPr>
          <w:p w14:paraId="369798B9" w14:textId="7C112BA5" w:rsidR="00161B9B" w:rsidRPr="00161B9B" w:rsidRDefault="00B52315" w:rsidP="00161B9B">
            <w:pPr>
              <w:pStyle w:val="ListParagraph"/>
              <w:ind w:left="0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10</w:t>
            </w:r>
            <w:r w:rsidR="00161B9B">
              <w:rPr>
                <w:rFonts w:ascii="Times" w:hAnsi="Times"/>
              </w:rPr>
              <w:t xml:space="preserve"> </w:t>
            </w:r>
            <w:r w:rsidR="00161B9B" w:rsidRPr="00161B9B">
              <w:rPr>
                <w:rFonts w:ascii="Symbol" w:hAnsi="Symbol"/>
              </w:rPr>
              <w:t></w:t>
            </w:r>
            <w:r w:rsidR="00161B9B">
              <w:rPr>
                <w:rFonts w:ascii="Times" w:hAnsi="Times"/>
              </w:rPr>
              <w:t>M</w:t>
            </w:r>
          </w:p>
        </w:tc>
        <w:tc>
          <w:tcPr>
            <w:tcW w:w="2673" w:type="dxa"/>
          </w:tcPr>
          <w:p w14:paraId="70CABA1C" w14:textId="3EC8F0F0" w:rsidR="00161B9B" w:rsidRPr="00161B9B" w:rsidRDefault="00161B9B" w:rsidP="00161B9B">
            <w:pPr>
              <w:pStyle w:val="ListParagraph"/>
              <w:ind w:left="0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1</w:t>
            </w:r>
            <w:r w:rsidR="00B52315">
              <w:rPr>
                <w:rFonts w:ascii="Times" w:hAnsi="Times"/>
              </w:rPr>
              <w:t>.</w:t>
            </w:r>
            <w:r>
              <w:rPr>
                <w:rFonts w:ascii="Times" w:hAnsi="Times"/>
              </w:rPr>
              <w:t>25</w:t>
            </w:r>
          </w:p>
        </w:tc>
      </w:tr>
      <w:tr w:rsidR="00161B9B" w:rsidRPr="00161B9B" w14:paraId="5A1D6E13" w14:textId="77777777" w:rsidTr="00161B9B">
        <w:tc>
          <w:tcPr>
            <w:tcW w:w="3530" w:type="dxa"/>
          </w:tcPr>
          <w:p w14:paraId="7CC05A01" w14:textId="47EBD88F" w:rsidR="00161B9B" w:rsidRPr="00161B9B" w:rsidRDefault="00161B9B" w:rsidP="00161B9B">
            <w:pPr>
              <w:pStyle w:val="ListParagraph"/>
              <w:ind w:left="0"/>
              <w:jc w:val="both"/>
              <w:rPr>
                <w:rFonts w:ascii="Times" w:hAnsi="Times"/>
              </w:rPr>
            </w:pPr>
            <w:r w:rsidRPr="00161B9B">
              <w:rPr>
                <w:rFonts w:ascii="Times" w:hAnsi="Times"/>
              </w:rPr>
              <w:t xml:space="preserve">0.25 </w:t>
            </w:r>
            <w:r w:rsidRPr="00161B9B">
              <w:rPr>
                <w:rFonts w:ascii="Symbol" w:hAnsi="Symbol"/>
              </w:rPr>
              <w:t></w:t>
            </w:r>
            <w:r w:rsidR="00C0151D">
              <w:rPr>
                <w:rFonts w:ascii="Times" w:hAnsi="Times"/>
              </w:rPr>
              <w:t>M M13 anti-sense</w:t>
            </w:r>
            <w:r w:rsidRPr="00161B9B">
              <w:rPr>
                <w:rFonts w:ascii="Times" w:hAnsi="Times"/>
              </w:rPr>
              <w:t xml:space="preserve"> primer</w:t>
            </w:r>
          </w:p>
        </w:tc>
        <w:tc>
          <w:tcPr>
            <w:tcW w:w="2673" w:type="dxa"/>
          </w:tcPr>
          <w:p w14:paraId="7A49C502" w14:textId="3CADF16A" w:rsidR="00161B9B" w:rsidRPr="00161B9B" w:rsidRDefault="00B52315" w:rsidP="00161B9B">
            <w:pPr>
              <w:pStyle w:val="ListParagraph"/>
              <w:ind w:left="0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10</w:t>
            </w:r>
            <w:r w:rsidR="00161B9B">
              <w:rPr>
                <w:rFonts w:ascii="Times" w:hAnsi="Times"/>
              </w:rPr>
              <w:t xml:space="preserve"> </w:t>
            </w:r>
            <w:r w:rsidR="00161B9B" w:rsidRPr="00161B9B">
              <w:rPr>
                <w:rFonts w:ascii="Symbol" w:hAnsi="Symbol"/>
              </w:rPr>
              <w:t></w:t>
            </w:r>
            <w:r w:rsidR="00161B9B">
              <w:rPr>
                <w:rFonts w:ascii="Times" w:hAnsi="Times"/>
              </w:rPr>
              <w:t>M</w:t>
            </w:r>
          </w:p>
        </w:tc>
        <w:tc>
          <w:tcPr>
            <w:tcW w:w="2673" w:type="dxa"/>
          </w:tcPr>
          <w:p w14:paraId="7B17C640" w14:textId="23B05566" w:rsidR="00161B9B" w:rsidRPr="00161B9B" w:rsidRDefault="00161B9B" w:rsidP="00161B9B">
            <w:pPr>
              <w:pStyle w:val="ListParagraph"/>
              <w:ind w:left="0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1</w:t>
            </w:r>
            <w:r w:rsidR="00B52315">
              <w:rPr>
                <w:rFonts w:ascii="Times" w:hAnsi="Times"/>
              </w:rPr>
              <w:t>.</w:t>
            </w:r>
            <w:r>
              <w:rPr>
                <w:rFonts w:ascii="Times" w:hAnsi="Times"/>
              </w:rPr>
              <w:t>25</w:t>
            </w:r>
          </w:p>
        </w:tc>
      </w:tr>
      <w:tr w:rsidR="00161B9B" w:rsidRPr="00161B9B" w14:paraId="4AE5C37A" w14:textId="77777777" w:rsidTr="00161B9B">
        <w:tc>
          <w:tcPr>
            <w:tcW w:w="3530" w:type="dxa"/>
          </w:tcPr>
          <w:p w14:paraId="3614AD3D" w14:textId="77777777" w:rsidR="00161B9B" w:rsidRPr="00161B9B" w:rsidRDefault="00161B9B" w:rsidP="00161B9B">
            <w:pPr>
              <w:pStyle w:val="ListParagraph"/>
              <w:ind w:left="0"/>
              <w:jc w:val="both"/>
              <w:rPr>
                <w:rFonts w:ascii="Times" w:hAnsi="Times"/>
              </w:rPr>
            </w:pPr>
            <w:proofErr w:type="spellStart"/>
            <w:r w:rsidRPr="00161B9B">
              <w:rPr>
                <w:rFonts w:ascii="Times" w:hAnsi="Times"/>
              </w:rPr>
              <w:t>Pfu</w:t>
            </w:r>
            <w:proofErr w:type="spellEnd"/>
            <w:r w:rsidRPr="00161B9B">
              <w:rPr>
                <w:rFonts w:ascii="Times" w:hAnsi="Times"/>
              </w:rPr>
              <w:t xml:space="preserve"> polymerase</w:t>
            </w:r>
          </w:p>
        </w:tc>
        <w:tc>
          <w:tcPr>
            <w:tcW w:w="2673" w:type="dxa"/>
          </w:tcPr>
          <w:p w14:paraId="5246CAEF" w14:textId="77777777" w:rsidR="00161B9B" w:rsidRPr="00161B9B" w:rsidRDefault="00161B9B" w:rsidP="00161B9B">
            <w:pPr>
              <w:pStyle w:val="ListParagraph"/>
              <w:ind w:left="0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-</w:t>
            </w:r>
          </w:p>
        </w:tc>
        <w:tc>
          <w:tcPr>
            <w:tcW w:w="2673" w:type="dxa"/>
          </w:tcPr>
          <w:p w14:paraId="00E4217F" w14:textId="77777777" w:rsidR="00161B9B" w:rsidRPr="00161B9B" w:rsidRDefault="00161B9B" w:rsidP="00161B9B">
            <w:pPr>
              <w:pStyle w:val="ListParagraph"/>
              <w:ind w:left="0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1</w:t>
            </w:r>
          </w:p>
        </w:tc>
      </w:tr>
      <w:tr w:rsidR="00161B9B" w:rsidRPr="00481BCA" w14:paraId="76795785" w14:textId="77777777" w:rsidTr="00161B9B">
        <w:tc>
          <w:tcPr>
            <w:tcW w:w="3530" w:type="dxa"/>
          </w:tcPr>
          <w:p w14:paraId="6B88FDF4" w14:textId="77777777" w:rsidR="00161B9B" w:rsidRPr="00481BCA" w:rsidRDefault="00161B9B" w:rsidP="00161B9B">
            <w:pPr>
              <w:pStyle w:val="ListParagraph"/>
              <w:ind w:left="0"/>
              <w:jc w:val="both"/>
              <w:rPr>
                <w:rFonts w:ascii="Times" w:hAnsi="Times"/>
              </w:rPr>
            </w:pPr>
            <w:proofErr w:type="gramStart"/>
            <w:r w:rsidRPr="00161B9B">
              <w:rPr>
                <w:rFonts w:ascii="Times" w:hAnsi="Times"/>
              </w:rPr>
              <w:t>recombinant</w:t>
            </w:r>
            <w:proofErr w:type="gramEnd"/>
            <w:r w:rsidRPr="00161B9B">
              <w:rPr>
                <w:rFonts w:ascii="Times" w:hAnsi="Times"/>
              </w:rPr>
              <w:t xml:space="preserve"> </w:t>
            </w:r>
            <w:proofErr w:type="spellStart"/>
            <w:r w:rsidRPr="00161B9B">
              <w:rPr>
                <w:rFonts w:ascii="Times" w:hAnsi="Times"/>
              </w:rPr>
              <w:t>bacmid</w:t>
            </w:r>
            <w:proofErr w:type="spellEnd"/>
            <w:r w:rsidRPr="00161B9B">
              <w:rPr>
                <w:rFonts w:ascii="Times" w:hAnsi="Times"/>
              </w:rPr>
              <w:t xml:space="preserve"> DNA</w:t>
            </w:r>
          </w:p>
        </w:tc>
        <w:tc>
          <w:tcPr>
            <w:tcW w:w="2673" w:type="dxa"/>
          </w:tcPr>
          <w:p w14:paraId="01836EC2" w14:textId="77777777" w:rsidR="00161B9B" w:rsidRPr="00161B9B" w:rsidRDefault="00161B9B" w:rsidP="00161B9B">
            <w:pPr>
              <w:pStyle w:val="ListParagraph"/>
              <w:ind w:left="0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-</w:t>
            </w:r>
          </w:p>
        </w:tc>
        <w:tc>
          <w:tcPr>
            <w:tcW w:w="2673" w:type="dxa"/>
          </w:tcPr>
          <w:p w14:paraId="2A3CB85B" w14:textId="77777777" w:rsidR="00161B9B" w:rsidRPr="00161B9B" w:rsidRDefault="00161B9B" w:rsidP="00161B9B">
            <w:pPr>
              <w:pStyle w:val="ListParagraph"/>
              <w:ind w:left="0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3</w:t>
            </w:r>
          </w:p>
        </w:tc>
      </w:tr>
      <w:tr w:rsidR="00161B9B" w:rsidRPr="00481BCA" w14:paraId="11F4505A" w14:textId="77777777" w:rsidTr="00161B9B">
        <w:tc>
          <w:tcPr>
            <w:tcW w:w="3530" w:type="dxa"/>
          </w:tcPr>
          <w:p w14:paraId="281F7434" w14:textId="77777777" w:rsidR="00161B9B" w:rsidRPr="00161B9B" w:rsidRDefault="00161B9B" w:rsidP="00161B9B">
            <w:pPr>
              <w:pStyle w:val="ListParagraph"/>
              <w:ind w:left="0"/>
              <w:jc w:val="both"/>
              <w:rPr>
                <w:rFonts w:ascii="Times" w:hAnsi="Times"/>
              </w:rPr>
            </w:pPr>
          </w:p>
        </w:tc>
        <w:tc>
          <w:tcPr>
            <w:tcW w:w="2673" w:type="dxa"/>
          </w:tcPr>
          <w:p w14:paraId="59B9B9E5" w14:textId="77777777" w:rsidR="00161B9B" w:rsidRDefault="00161B9B" w:rsidP="00161B9B">
            <w:pPr>
              <w:pStyle w:val="ListParagraph"/>
              <w:ind w:left="0"/>
              <w:jc w:val="center"/>
              <w:rPr>
                <w:rFonts w:ascii="Times" w:hAnsi="Times"/>
              </w:rPr>
            </w:pPr>
          </w:p>
        </w:tc>
        <w:tc>
          <w:tcPr>
            <w:tcW w:w="2673" w:type="dxa"/>
          </w:tcPr>
          <w:p w14:paraId="451D5936" w14:textId="77777777" w:rsidR="00161B9B" w:rsidRPr="00161B9B" w:rsidRDefault="00161B9B" w:rsidP="00161B9B">
            <w:pPr>
              <w:pStyle w:val="ListParagraph"/>
              <w:ind w:left="0"/>
              <w:jc w:val="center"/>
              <w:rPr>
                <w:rFonts w:ascii="Times" w:hAnsi="Times"/>
              </w:rPr>
            </w:pPr>
          </w:p>
        </w:tc>
      </w:tr>
      <w:tr w:rsidR="00161B9B" w:rsidRPr="00481BCA" w14:paraId="7D29F3EC" w14:textId="77777777" w:rsidTr="00161B9B">
        <w:tc>
          <w:tcPr>
            <w:tcW w:w="3530" w:type="dxa"/>
          </w:tcPr>
          <w:p w14:paraId="64BB371A" w14:textId="77777777" w:rsidR="00161B9B" w:rsidRPr="00161B9B" w:rsidRDefault="00161B9B" w:rsidP="00161B9B">
            <w:pPr>
              <w:pStyle w:val="ListParagraph"/>
              <w:ind w:left="0"/>
              <w:jc w:val="both"/>
              <w:rPr>
                <w:rFonts w:ascii="Times" w:hAnsi="Times"/>
              </w:rPr>
            </w:pPr>
            <w:proofErr w:type="gramStart"/>
            <w:r>
              <w:rPr>
                <w:rFonts w:ascii="Times" w:hAnsi="Times"/>
              </w:rPr>
              <w:t>sterile</w:t>
            </w:r>
            <w:proofErr w:type="gramEnd"/>
            <w:r>
              <w:rPr>
                <w:rFonts w:ascii="Times" w:hAnsi="Times"/>
              </w:rPr>
              <w:t xml:space="preserve"> ddH</w:t>
            </w:r>
            <w:r w:rsidRPr="00161B9B">
              <w:rPr>
                <w:rFonts w:ascii="Times" w:hAnsi="Times"/>
                <w:vertAlign w:val="subscript"/>
              </w:rPr>
              <w:t>2</w:t>
            </w:r>
            <w:r>
              <w:rPr>
                <w:rFonts w:ascii="Times" w:hAnsi="Times"/>
              </w:rPr>
              <w:t>O</w:t>
            </w:r>
          </w:p>
        </w:tc>
        <w:tc>
          <w:tcPr>
            <w:tcW w:w="2673" w:type="dxa"/>
          </w:tcPr>
          <w:p w14:paraId="7D3DD94D" w14:textId="77777777" w:rsidR="00161B9B" w:rsidRDefault="00161B9B" w:rsidP="00161B9B">
            <w:pPr>
              <w:pStyle w:val="ListParagraph"/>
              <w:ind w:left="0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-</w:t>
            </w:r>
          </w:p>
        </w:tc>
        <w:tc>
          <w:tcPr>
            <w:tcW w:w="2673" w:type="dxa"/>
          </w:tcPr>
          <w:p w14:paraId="48C65EA6" w14:textId="59E97C8C" w:rsidR="00161B9B" w:rsidRPr="00161B9B" w:rsidRDefault="00CF6ECC" w:rsidP="00161B9B">
            <w:pPr>
              <w:pStyle w:val="ListParagraph"/>
              <w:ind w:left="0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3</w:t>
            </w:r>
            <w:r w:rsidR="00161B9B">
              <w:rPr>
                <w:rFonts w:ascii="Times" w:hAnsi="Times"/>
              </w:rPr>
              <w:t>7</w:t>
            </w:r>
            <w:r>
              <w:rPr>
                <w:rFonts w:ascii="Times" w:hAnsi="Times"/>
              </w:rPr>
              <w:t>.</w:t>
            </w:r>
            <w:r w:rsidR="00161B9B">
              <w:rPr>
                <w:rFonts w:ascii="Times" w:hAnsi="Times"/>
              </w:rPr>
              <w:t>5</w:t>
            </w:r>
          </w:p>
        </w:tc>
      </w:tr>
    </w:tbl>
    <w:p w14:paraId="4D7F9AF9" w14:textId="55BD8AF2" w:rsidR="00B24F71" w:rsidRDefault="00B24F71" w:rsidP="00B24F71">
      <w:pPr>
        <w:jc w:val="both"/>
        <w:rPr>
          <w:rFonts w:ascii="Times" w:hAnsi="Times"/>
        </w:rPr>
      </w:pPr>
      <w:r>
        <w:rPr>
          <w:rFonts w:ascii="Times" w:hAnsi="Times"/>
          <w:b/>
        </w:rPr>
        <w:t xml:space="preserve">    </w:t>
      </w:r>
      <w:r w:rsidR="00161B9B" w:rsidRPr="00B24F71">
        <w:rPr>
          <w:rFonts w:ascii="Times" w:hAnsi="Times"/>
          <w:b/>
        </w:rPr>
        <w:t>Notes:</w:t>
      </w:r>
      <w:r w:rsidR="00B52315">
        <w:rPr>
          <w:rFonts w:ascii="Times" w:hAnsi="Times"/>
        </w:rPr>
        <w:t xml:space="preserve">  Prepare a master mix to </w:t>
      </w:r>
      <w:r>
        <w:rPr>
          <w:rFonts w:ascii="Times" w:hAnsi="Times"/>
        </w:rPr>
        <w:t xml:space="preserve">simplify setting up multiple reactions.  Prudent controls   </w:t>
      </w:r>
    </w:p>
    <w:p w14:paraId="225EE730" w14:textId="77777777" w:rsidR="006A59E9" w:rsidRPr="0078506C" w:rsidRDefault="00B24F71" w:rsidP="00B24F71">
      <w:pPr>
        <w:jc w:val="both"/>
        <w:rPr>
          <w:rFonts w:ascii="Times" w:hAnsi="Times"/>
          <w:i/>
        </w:rPr>
      </w:pPr>
      <w:r>
        <w:rPr>
          <w:rFonts w:ascii="Times" w:hAnsi="Times"/>
        </w:rPr>
        <w:t xml:space="preserve">    </w:t>
      </w:r>
      <w:proofErr w:type="gramStart"/>
      <w:r>
        <w:rPr>
          <w:rFonts w:ascii="Times" w:hAnsi="Times"/>
        </w:rPr>
        <w:t>include</w:t>
      </w:r>
      <w:proofErr w:type="gramEnd"/>
      <w:r>
        <w:rPr>
          <w:rFonts w:ascii="Times" w:hAnsi="Times"/>
        </w:rPr>
        <w:t>: (1) no temp</w:t>
      </w:r>
      <w:r w:rsidR="006A59E9">
        <w:rPr>
          <w:rFonts w:ascii="Times" w:hAnsi="Times"/>
        </w:rPr>
        <w:t xml:space="preserve">late, and (2) ‘empty’ </w:t>
      </w:r>
      <w:proofErr w:type="spellStart"/>
      <w:r w:rsidR="006A59E9">
        <w:rPr>
          <w:rFonts w:ascii="Times" w:hAnsi="Times"/>
        </w:rPr>
        <w:t>bacmid</w:t>
      </w:r>
      <w:proofErr w:type="spellEnd"/>
      <w:r w:rsidR="006A59E9">
        <w:rPr>
          <w:rFonts w:ascii="Times" w:hAnsi="Times"/>
        </w:rPr>
        <w:t xml:space="preserve"> (DNA </w:t>
      </w:r>
      <w:r>
        <w:rPr>
          <w:rFonts w:ascii="Times" w:hAnsi="Times"/>
        </w:rPr>
        <w:t xml:space="preserve">isolated from a blue DH10Bac </w:t>
      </w:r>
      <w:r w:rsidRPr="0078506C">
        <w:rPr>
          <w:rFonts w:ascii="Times" w:hAnsi="Times"/>
          <w:i/>
        </w:rPr>
        <w:t xml:space="preserve">E. </w:t>
      </w:r>
      <w:r w:rsidR="006A59E9" w:rsidRPr="0078506C">
        <w:rPr>
          <w:rFonts w:ascii="Times" w:hAnsi="Times"/>
          <w:i/>
        </w:rPr>
        <w:t xml:space="preserve"> </w:t>
      </w:r>
    </w:p>
    <w:p w14:paraId="0D845D9D" w14:textId="77777777" w:rsidR="00C0151D" w:rsidRDefault="006A59E9" w:rsidP="00B24F71">
      <w:pPr>
        <w:jc w:val="both"/>
        <w:rPr>
          <w:rFonts w:ascii="Times" w:hAnsi="Times"/>
        </w:rPr>
      </w:pPr>
      <w:r w:rsidRPr="0078506C">
        <w:rPr>
          <w:rFonts w:ascii="Times" w:hAnsi="Times"/>
          <w:i/>
        </w:rPr>
        <w:t xml:space="preserve">    </w:t>
      </w:r>
      <w:proofErr w:type="gramStart"/>
      <w:r w:rsidR="00B24F71" w:rsidRPr="0078506C">
        <w:rPr>
          <w:rFonts w:ascii="Times" w:hAnsi="Times"/>
          <w:i/>
        </w:rPr>
        <w:t>coli</w:t>
      </w:r>
      <w:proofErr w:type="gramEnd"/>
      <w:r w:rsidR="00B24F71">
        <w:rPr>
          <w:rFonts w:ascii="Times" w:hAnsi="Times"/>
        </w:rPr>
        <w:t xml:space="preserve"> colony).</w:t>
      </w:r>
      <w:r w:rsidR="00EE01B2">
        <w:rPr>
          <w:rFonts w:ascii="Times" w:hAnsi="Times"/>
        </w:rPr>
        <w:t xml:space="preserve">  </w:t>
      </w:r>
    </w:p>
    <w:p w14:paraId="6052F998" w14:textId="0876EB8D" w:rsidR="00161B9B" w:rsidRPr="0078506C" w:rsidRDefault="00C0151D" w:rsidP="00B24F71">
      <w:pPr>
        <w:jc w:val="both"/>
        <w:rPr>
          <w:rFonts w:ascii="Times" w:hAnsi="Times"/>
        </w:rPr>
      </w:pPr>
      <w:r>
        <w:rPr>
          <w:rFonts w:ascii="Times" w:hAnsi="Times"/>
        </w:rPr>
        <w:t xml:space="preserve">    </w:t>
      </w:r>
      <w:r w:rsidR="00EE01B2">
        <w:rPr>
          <w:rFonts w:ascii="Times" w:hAnsi="Times"/>
        </w:rPr>
        <w:t>The sequence of the</w:t>
      </w:r>
      <w:r>
        <w:rPr>
          <w:rFonts w:ascii="Times" w:hAnsi="Times"/>
        </w:rPr>
        <w:t xml:space="preserve"> M13 sense</w:t>
      </w:r>
      <w:r w:rsidR="0078506C">
        <w:rPr>
          <w:rFonts w:ascii="Times" w:hAnsi="Times"/>
        </w:rPr>
        <w:t xml:space="preserve"> primer </w:t>
      </w:r>
      <w:r w:rsidR="00EE01B2">
        <w:rPr>
          <w:rFonts w:ascii="Times" w:hAnsi="Times"/>
        </w:rPr>
        <w:t>is:</w:t>
      </w:r>
      <w:r>
        <w:rPr>
          <w:rFonts w:ascii="Times" w:hAnsi="Times"/>
        </w:rPr>
        <w:t xml:space="preserve"> 5’-CCCAGTCACGACGTTGTAAAACG</w:t>
      </w:r>
      <w:r w:rsidR="00E13C18">
        <w:rPr>
          <w:rFonts w:ascii="Times" w:hAnsi="Times"/>
        </w:rPr>
        <w:t xml:space="preserve"> </w:t>
      </w:r>
      <w:r w:rsidR="00161B9B" w:rsidRPr="00B24F71">
        <w:rPr>
          <w:rFonts w:ascii="Times" w:hAnsi="Times"/>
          <w:b/>
        </w:rPr>
        <w:t xml:space="preserve"> </w:t>
      </w:r>
    </w:p>
    <w:p w14:paraId="6A3E1D19" w14:textId="3C7B115D" w:rsidR="003A4930" w:rsidRPr="00C0151D" w:rsidRDefault="00C0151D" w:rsidP="00B24F71">
      <w:pPr>
        <w:jc w:val="both"/>
        <w:rPr>
          <w:rFonts w:ascii="Times" w:hAnsi="Times"/>
        </w:rPr>
      </w:pPr>
      <w:r>
        <w:rPr>
          <w:rFonts w:ascii="Times" w:hAnsi="Times"/>
        </w:rPr>
        <w:t xml:space="preserve">    The sequence of the M13 anti-sense primer is: 5’-AGCGGATAACAATTTCACACAGG</w:t>
      </w:r>
    </w:p>
    <w:p w14:paraId="3C57F6F2" w14:textId="77777777" w:rsidR="005572C8" w:rsidRDefault="005572C8" w:rsidP="00B24F71">
      <w:pPr>
        <w:jc w:val="both"/>
        <w:rPr>
          <w:rFonts w:ascii="Times" w:hAnsi="Times"/>
          <w:b/>
        </w:rPr>
      </w:pPr>
    </w:p>
    <w:p w14:paraId="6BEF42F6" w14:textId="1EABE775" w:rsidR="00B24F71" w:rsidRDefault="00B24F71" w:rsidP="00B24F71">
      <w:pPr>
        <w:pStyle w:val="ListParagraph"/>
        <w:numPr>
          <w:ilvl w:val="0"/>
          <w:numId w:val="3"/>
        </w:numPr>
        <w:jc w:val="both"/>
        <w:rPr>
          <w:rFonts w:ascii="Times" w:hAnsi="Times"/>
        </w:rPr>
      </w:pPr>
      <w:r>
        <w:rPr>
          <w:rFonts w:ascii="Times" w:hAnsi="Times"/>
        </w:rPr>
        <w:t xml:space="preserve">Amplify the </w:t>
      </w:r>
      <w:proofErr w:type="spellStart"/>
      <w:r>
        <w:rPr>
          <w:rFonts w:ascii="Times" w:hAnsi="Times"/>
        </w:rPr>
        <w:t>bacmid</w:t>
      </w:r>
      <w:proofErr w:type="spellEnd"/>
      <w:r>
        <w:rPr>
          <w:rFonts w:ascii="Times" w:hAnsi="Times"/>
        </w:rPr>
        <w:t xml:space="preserve"> DNA us</w:t>
      </w:r>
      <w:r w:rsidR="005572C8">
        <w:rPr>
          <w:rFonts w:ascii="Times" w:hAnsi="Times"/>
        </w:rPr>
        <w:t>ing the following cycling parame</w:t>
      </w:r>
      <w:r>
        <w:rPr>
          <w:rFonts w:ascii="Times" w:hAnsi="Times"/>
        </w:rPr>
        <w:t>ters:</w:t>
      </w:r>
    </w:p>
    <w:p w14:paraId="54E8D35F" w14:textId="77777777" w:rsidR="00B24F71" w:rsidRDefault="00B24F71" w:rsidP="00B24F71">
      <w:pPr>
        <w:pStyle w:val="ListParagraph"/>
        <w:ind w:left="360"/>
        <w:jc w:val="both"/>
        <w:rPr>
          <w:rFonts w:ascii="Times" w:hAnsi="Times"/>
        </w:rPr>
      </w:pPr>
    </w:p>
    <w:tbl>
      <w:tblPr>
        <w:tblStyle w:val="TableGrid"/>
        <w:tblW w:w="8820" w:type="dxa"/>
        <w:tblInd w:w="378" w:type="dxa"/>
        <w:tblLook w:val="04A0" w:firstRow="1" w:lastRow="0" w:firstColumn="1" w:lastColumn="0" w:noHBand="0" w:noVBand="1"/>
      </w:tblPr>
      <w:tblGrid>
        <w:gridCol w:w="2210"/>
        <w:gridCol w:w="1750"/>
        <w:gridCol w:w="1890"/>
        <w:gridCol w:w="2970"/>
      </w:tblGrid>
      <w:tr w:rsidR="00B24F71" w14:paraId="422B6C13" w14:textId="77777777" w:rsidTr="00B24F71">
        <w:tc>
          <w:tcPr>
            <w:tcW w:w="2210" w:type="dxa"/>
          </w:tcPr>
          <w:p w14:paraId="0301D508" w14:textId="77777777" w:rsidR="00B24F71" w:rsidRPr="00B24F71" w:rsidRDefault="00B24F71" w:rsidP="00B24F71">
            <w:pPr>
              <w:jc w:val="center"/>
              <w:rPr>
                <w:rFonts w:ascii="Times" w:hAnsi="Times"/>
                <w:b/>
              </w:rPr>
            </w:pPr>
            <w:proofErr w:type="gramStart"/>
            <w:r>
              <w:rPr>
                <w:rFonts w:ascii="Times" w:hAnsi="Times"/>
                <w:b/>
              </w:rPr>
              <w:t>step</w:t>
            </w:r>
            <w:proofErr w:type="gramEnd"/>
          </w:p>
        </w:tc>
        <w:tc>
          <w:tcPr>
            <w:tcW w:w="1750" w:type="dxa"/>
          </w:tcPr>
          <w:p w14:paraId="78564E7F" w14:textId="77777777" w:rsidR="00B24F71" w:rsidRPr="00B24F71" w:rsidRDefault="00B24F71" w:rsidP="00B24F71">
            <w:pPr>
              <w:jc w:val="center"/>
              <w:rPr>
                <w:rFonts w:ascii="Times" w:hAnsi="Times"/>
                <w:b/>
              </w:rPr>
            </w:pPr>
            <w:proofErr w:type="gramStart"/>
            <w:r w:rsidRPr="00B24F71">
              <w:rPr>
                <w:rFonts w:ascii="Times" w:hAnsi="Times"/>
                <w:b/>
              </w:rPr>
              <w:t>time</w:t>
            </w:r>
            <w:proofErr w:type="gramEnd"/>
          </w:p>
        </w:tc>
        <w:tc>
          <w:tcPr>
            <w:tcW w:w="1890" w:type="dxa"/>
          </w:tcPr>
          <w:p w14:paraId="220E5FFE" w14:textId="5609DABD" w:rsidR="00B24F71" w:rsidRPr="00B24F71" w:rsidRDefault="00B24F71" w:rsidP="00B24F71">
            <w:pPr>
              <w:jc w:val="center"/>
              <w:rPr>
                <w:rFonts w:ascii="Times" w:hAnsi="Times"/>
                <w:b/>
              </w:rPr>
            </w:pPr>
            <w:r w:rsidRPr="00B24F71">
              <w:rPr>
                <w:rFonts w:ascii="Times" w:hAnsi="Times"/>
                <w:b/>
              </w:rPr>
              <w:t>temperature</w:t>
            </w:r>
            <w:r>
              <w:rPr>
                <w:rFonts w:ascii="Times" w:hAnsi="Times"/>
                <w:b/>
              </w:rPr>
              <w:t xml:space="preserve"> (</w:t>
            </w:r>
            <w:r w:rsidR="00CF6ECC">
              <w:rPr>
                <w:rFonts w:ascii="Times" w:hAnsi="Times"/>
                <w:b/>
              </w:rPr>
              <w:t>°</w:t>
            </w:r>
            <w:bookmarkStart w:id="0" w:name="_GoBack"/>
            <w:bookmarkEnd w:id="0"/>
            <w:r>
              <w:rPr>
                <w:rFonts w:ascii="Times" w:hAnsi="Times"/>
                <w:b/>
              </w:rPr>
              <w:t>C)</w:t>
            </w:r>
          </w:p>
        </w:tc>
        <w:tc>
          <w:tcPr>
            <w:tcW w:w="2970" w:type="dxa"/>
          </w:tcPr>
          <w:p w14:paraId="1C855570" w14:textId="77777777" w:rsidR="00B24F71" w:rsidRPr="00B24F71" w:rsidRDefault="00B24F71" w:rsidP="00B24F71">
            <w:pPr>
              <w:jc w:val="center"/>
              <w:rPr>
                <w:rFonts w:ascii="Times" w:hAnsi="Times"/>
                <w:b/>
              </w:rPr>
            </w:pPr>
            <w:proofErr w:type="gramStart"/>
            <w:r w:rsidRPr="00B24F71">
              <w:rPr>
                <w:rFonts w:ascii="Times" w:hAnsi="Times"/>
                <w:b/>
              </w:rPr>
              <w:t>cycles</w:t>
            </w:r>
            <w:proofErr w:type="gramEnd"/>
          </w:p>
        </w:tc>
      </w:tr>
      <w:tr w:rsidR="00B24F71" w14:paraId="3BF60F45" w14:textId="77777777" w:rsidTr="00B24F71">
        <w:tc>
          <w:tcPr>
            <w:tcW w:w="2210" w:type="dxa"/>
          </w:tcPr>
          <w:p w14:paraId="16DDEC32" w14:textId="77777777" w:rsidR="00B24F71" w:rsidRDefault="00B24F71" w:rsidP="00B24F71">
            <w:pPr>
              <w:jc w:val="center"/>
              <w:rPr>
                <w:rFonts w:ascii="Times" w:hAnsi="Times"/>
              </w:rPr>
            </w:pPr>
            <w:proofErr w:type="gramStart"/>
            <w:r>
              <w:rPr>
                <w:rFonts w:ascii="Times" w:hAnsi="Times"/>
              </w:rPr>
              <w:t>initial</w:t>
            </w:r>
            <w:proofErr w:type="gramEnd"/>
            <w:r>
              <w:rPr>
                <w:rFonts w:ascii="Times" w:hAnsi="Times"/>
              </w:rPr>
              <w:t xml:space="preserve"> denaturation</w:t>
            </w:r>
          </w:p>
        </w:tc>
        <w:tc>
          <w:tcPr>
            <w:tcW w:w="1750" w:type="dxa"/>
          </w:tcPr>
          <w:p w14:paraId="5ABB0517" w14:textId="77777777" w:rsidR="00B24F71" w:rsidRDefault="00B24F71" w:rsidP="00B24F71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1 minute</w:t>
            </w:r>
          </w:p>
        </w:tc>
        <w:tc>
          <w:tcPr>
            <w:tcW w:w="1890" w:type="dxa"/>
          </w:tcPr>
          <w:p w14:paraId="53BF35C5" w14:textId="77777777" w:rsidR="00B24F71" w:rsidRDefault="00B24F71" w:rsidP="00B24F71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94</w:t>
            </w:r>
          </w:p>
        </w:tc>
        <w:tc>
          <w:tcPr>
            <w:tcW w:w="2970" w:type="dxa"/>
          </w:tcPr>
          <w:p w14:paraId="697EAE6A" w14:textId="77777777" w:rsidR="00B24F71" w:rsidRDefault="00B24F71" w:rsidP="00B24F71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1X</w:t>
            </w:r>
          </w:p>
        </w:tc>
      </w:tr>
      <w:tr w:rsidR="003A4930" w14:paraId="79B58F48" w14:textId="77777777" w:rsidTr="003A4930">
        <w:tc>
          <w:tcPr>
            <w:tcW w:w="2210" w:type="dxa"/>
          </w:tcPr>
          <w:p w14:paraId="69B4A015" w14:textId="77777777" w:rsidR="003A4930" w:rsidRDefault="003A4930" w:rsidP="00B24F71">
            <w:pPr>
              <w:jc w:val="center"/>
              <w:rPr>
                <w:rFonts w:ascii="Times" w:hAnsi="Times"/>
              </w:rPr>
            </w:pPr>
            <w:proofErr w:type="gramStart"/>
            <w:r>
              <w:rPr>
                <w:rFonts w:ascii="Times" w:hAnsi="Times"/>
              </w:rPr>
              <w:t>denaturation</w:t>
            </w:r>
            <w:proofErr w:type="gramEnd"/>
          </w:p>
        </w:tc>
        <w:tc>
          <w:tcPr>
            <w:tcW w:w="1750" w:type="dxa"/>
          </w:tcPr>
          <w:p w14:paraId="516E338C" w14:textId="77777777" w:rsidR="003A4930" w:rsidRDefault="003A4930" w:rsidP="00B24F71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45 seconds</w:t>
            </w:r>
          </w:p>
        </w:tc>
        <w:tc>
          <w:tcPr>
            <w:tcW w:w="1890" w:type="dxa"/>
          </w:tcPr>
          <w:p w14:paraId="0BBC6D9C" w14:textId="77777777" w:rsidR="003A4930" w:rsidRDefault="003A4930" w:rsidP="00B24F71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94</w:t>
            </w:r>
          </w:p>
        </w:tc>
        <w:tc>
          <w:tcPr>
            <w:tcW w:w="2970" w:type="dxa"/>
            <w:vMerge w:val="restart"/>
            <w:vAlign w:val="center"/>
          </w:tcPr>
          <w:p w14:paraId="56C5B4CA" w14:textId="77777777" w:rsidR="003A4930" w:rsidRDefault="003A4930" w:rsidP="003A4930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35X</w:t>
            </w:r>
          </w:p>
        </w:tc>
      </w:tr>
      <w:tr w:rsidR="003A4930" w14:paraId="0C1EB0FE" w14:textId="77777777" w:rsidTr="00B24F71">
        <w:tc>
          <w:tcPr>
            <w:tcW w:w="2210" w:type="dxa"/>
          </w:tcPr>
          <w:p w14:paraId="4546BE8F" w14:textId="77777777" w:rsidR="003A4930" w:rsidRDefault="003A4930" w:rsidP="00B24F71">
            <w:pPr>
              <w:jc w:val="center"/>
              <w:rPr>
                <w:rFonts w:ascii="Times" w:hAnsi="Times"/>
              </w:rPr>
            </w:pPr>
            <w:proofErr w:type="gramStart"/>
            <w:r>
              <w:rPr>
                <w:rFonts w:ascii="Times" w:hAnsi="Times"/>
              </w:rPr>
              <w:t>annealing</w:t>
            </w:r>
            <w:proofErr w:type="gramEnd"/>
          </w:p>
        </w:tc>
        <w:tc>
          <w:tcPr>
            <w:tcW w:w="1750" w:type="dxa"/>
          </w:tcPr>
          <w:p w14:paraId="46094219" w14:textId="77777777" w:rsidR="003A4930" w:rsidRDefault="003A4930" w:rsidP="00B24F71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45 seconds</w:t>
            </w:r>
          </w:p>
        </w:tc>
        <w:tc>
          <w:tcPr>
            <w:tcW w:w="1890" w:type="dxa"/>
          </w:tcPr>
          <w:p w14:paraId="6C39A43A" w14:textId="77777777" w:rsidR="003A4930" w:rsidRDefault="003A4930" w:rsidP="00B24F71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55</w:t>
            </w:r>
          </w:p>
        </w:tc>
        <w:tc>
          <w:tcPr>
            <w:tcW w:w="2970" w:type="dxa"/>
            <w:vMerge/>
          </w:tcPr>
          <w:p w14:paraId="7A5E3B87" w14:textId="77777777" w:rsidR="003A4930" w:rsidRDefault="003A4930" w:rsidP="00B24F71">
            <w:pPr>
              <w:jc w:val="center"/>
              <w:rPr>
                <w:rFonts w:ascii="Times" w:hAnsi="Times"/>
              </w:rPr>
            </w:pPr>
          </w:p>
        </w:tc>
      </w:tr>
      <w:tr w:rsidR="003A4930" w14:paraId="4B2C4948" w14:textId="77777777" w:rsidTr="00B24F71">
        <w:tc>
          <w:tcPr>
            <w:tcW w:w="2210" w:type="dxa"/>
          </w:tcPr>
          <w:p w14:paraId="1078B8FF" w14:textId="77777777" w:rsidR="003A4930" w:rsidRDefault="003A4930" w:rsidP="00B24F71">
            <w:pPr>
              <w:jc w:val="center"/>
              <w:rPr>
                <w:rFonts w:ascii="Times" w:hAnsi="Times"/>
              </w:rPr>
            </w:pPr>
            <w:proofErr w:type="gramStart"/>
            <w:r>
              <w:rPr>
                <w:rFonts w:ascii="Times" w:hAnsi="Times"/>
              </w:rPr>
              <w:t>extension</w:t>
            </w:r>
            <w:proofErr w:type="gramEnd"/>
          </w:p>
        </w:tc>
        <w:tc>
          <w:tcPr>
            <w:tcW w:w="1750" w:type="dxa"/>
          </w:tcPr>
          <w:p w14:paraId="025DD560" w14:textId="21457510" w:rsidR="003A4930" w:rsidRDefault="005572C8" w:rsidP="00B24F71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~90 seconds/kb</w:t>
            </w:r>
          </w:p>
        </w:tc>
        <w:tc>
          <w:tcPr>
            <w:tcW w:w="1890" w:type="dxa"/>
          </w:tcPr>
          <w:p w14:paraId="64CF62F8" w14:textId="77777777" w:rsidR="003A4930" w:rsidRDefault="003A4930" w:rsidP="00B24F71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68</w:t>
            </w:r>
          </w:p>
        </w:tc>
        <w:tc>
          <w:tcPr>
            <w:tcW w:w="2970" w:type="dxa"/>
            <w:vMerge/>
          </w:tcPr>
          <w:p w14:paraId="0314AC8D" w14:textId="77777777" w:rsidR="003A4930" w:rsidRDefault="003A4930" w:rsidP="00B24F71">
            <w:pPr>
              <w:jc w:val="center"/>
              <w:rPr>
                <w:rFonts w:ascii="Times" w:hAnsi="Times"/>
              </w:rPr>
            </w:pPr>
          </w:p>
        </w:tc>
      </w:tr>
      <w:tr w:rsidR="00B24F71" w14:paraId="308ED720" w14:textId="77777777" w:rsidTr="00B24F71">
        <w:tc>
          <w:tcPr>
            <w:tcW w:w="2210" w:type="dxa"/>
          </w:tcPr>
          <w:p w14:paraId="7D042180" w14:textId="77777777" w:rsidR="00B24F71" w:rsidRDefault="00B24F71" w:rsidP="00B24F71">
            <w:pPr>
              <w:jc w:val="center"/>
              <w:rPr>
                <w:rFonts w:ascii="Times" w:hAnsi="Times"/>
              </w:rPr>
            </w:pPr>
            <w:proofErr w:type="gramStart"/>
            <w:r>
              <w:rPr>
                <w:rFonts w:ascii="Times" w:hAnsi="Times"/>
              </w:rPr>
              <w:t>final</w:t>
            </w:r>
            <w:proofErr w:type="gramEnd"/>
            <w:r>
              <w:rPr>
                <w:rFonts w:ascii="Times" w:hAnsi="Times"/>
              </w:rPr>
              <w:t xml:space="preserve"> extension</w:t>
            </w:r>
          </w:p>
        </w:tc>
        <w:tc>
          <w:tcPr>
            <w:tcW w:w="1750" w:type="dxa"/>
          </w:tcPr>
          <w:p w14:paraId="2286343F" w14:textId="77777777" w:rsidR="00B24F71" w:rsidRDefault="00B24F71" w:rsidP="00B24F71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10 minutes</w:t>
            </w:r>
          </w:p>
        </w:tc>
        <w:tc>
          <w:tcPr>
            <w:tcW w:w="1890" w:type="dxa"/>
          </w:tcPr>
          <w:p w14:paraId="118F1B66" w14:textId="77777777" w:rsidR="00B24F71" w:rsidRDefault="00B24F71" w:rsidP="00B24F71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68</w:t>
            </w:r>
          </w:p>
        </w:tc>
        <w:tc>
          <w:tcPr>
            <w:tcW w:w="2970" w:type="dxa"/>
          </w:tcPr>
          <w:p w14:paraId="3A1AC89C" w14:textId="77777777" w:rsidR="00B24F71" w:rsidRDefault="00B24F71" w:rsidP="00B24F71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1X</w:t>
            </w:r>
          </w:p>
        </w:tc>
      </w:tr>
      <w:tr w:rsidR="00B24F71" w14:paraId="69948C64" w14:textId="77777777" w:rsidTr="00B24F71">
        <w:tc>
          <w:tcPr>
            <w:tcW w:w="2210" w:type="dxa"/>
          </w:tcPr>
          <w:p w14:paraId="72DFA0EB" w14:textId="77777777" w:rsidR="00B24F71" w:rsidRDefault="00B24F71" w:rsidP="00B24F71">
            <w:pPr>
              <w:jc w:val="center"/>
              <w:rPr>
                <w:rFonts w:ascii="Times" w:hAnsi="Times"/>
              </w:rPr>
            </w:pPr>
            <w:proofErr w:type="gramStart"/>
            <w:r>
              <w:rPr>
                <w:rFonts w:ascii="Times" w:hAnsi="Times"/>
              </w:rPr>
              <w:t>hold</w:t>
            </w:r>
            <w:proofErr w:type="gramEnd"/>
          </w:p>
        </w:tc>
        <w:tc>
          <w:tcPr>
            <w:tcW w:w="1750" w:type="dxa"/>
          </w:tcPr>
          <w:p w14:paraId="082D3D5A" w14:textId="77777777" w:rsidR="00B24F71" w:rsidRDefault="00B24F71" w:rsidP="00B24F71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∞</w:t>
            </w:r>
          </w:p>
        </w:tc>
        <w:tc>
          <w:tcPr>
            <w:tcW w:w="1890" w:type="dxa"/>
          </w:tcPr>
          <w:p w14:paraId="4A97616A" w14:textId="77777777" w:rsidR="00B24F71" w:rsidRDefault="00B24F71" w:rsidP="00B24F71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4</w:t>
            </w:r>
          </w:p>
        </w:tc>
        <w:tc>
          <w:tcPr>
            <w:tcW w:w="2970" w:type="dxa"/>
          </w:tcPr>
          <w:p w14:paraId="2C80F06F" w14:textId="77777777" w:rsidR="00B24F71" w:rsidRDefault="00B24F71" w:rsidP="00B24F71">
            <w:pPr>
              <w:jc w:val="center"/>
              <w:rPr>
                <w:rFonts w:ascii="Times" w:hAnsi="Times"/>
              </w:rPr>
            </w:pPr>
          </w:p>
        </w:tc>
      </w:tr>
    </w:tbl>
    <w:p w14:paraId="393A96E1" w14:textId="77777777" w:rsidR="005572C8" w:rsidRDefault="003A4930" w:rsidP="00CF6ECC">
      <w:pPr>
        <w:rPr>
          <w:rFonts w:ascii="Times" w:hAnsi="Times"/>
        </w:rPr>
      </w:pPr>
      <w:r>
        <w:rPr>
          <w:rFonts w:ascii="Times" w:hAnsi="Times"/>
          <w:b/>
        </w:rPr>
        <w:t xml:space="preserve">    </w:t>
      </w:r>
      <w:r w:rsidRPr="00B24F71">
        <w:rPr>
          <w:rFonts w:ascii="Times" w:hAnsi="Times"/>
          <w:b/>
        </w:rPr>
        <w:t>Notes:</w:t>
      </w:r>
      <w:r>
        <w:rPr>
          <w:rFonts w:ascii="Times" w:hAnsi="Times"/>
        </w:rPr>
        <w:t xml:space="preserve">  These cycling parameters have been optimized for </w:t>
      </w:r>
      <w:r w:rsidR="005572C8">
        <w:rPr>
          <w:rFonts w:ascii="Times" w:hAnsi="Times"/>
        </w:rPr>
        <w:t xml:space="preserve">the M13 primer pair and </w:t>
      </w:r>
      <w:r>
        <w:rPr>
          <w:rFonts w:ascii="Times" w:hAnsi="Times"/>
        </w:rPr>
        <w:t xml:space="preserve">the </w:t>
      </w:r>
      <w:proofErr w:type="spellStart"/>
      <w:r>
        <w:rPr>
          <w:rFonts w:ascii="Times" w:hAnsi="Times"/>
        </w:rPr>
        <w:t>Pfu</w:t>
      </w:r>
      <w:proofErr w:type="spellEnd"/>
      <w:r>
        <w:rPr>
          <w:rFonts w:ascii="Times" w:hAnsi="Times"/>
        </w:rPr>
        <w:t xml:space="preserve"> </w:t>
      </w:r>
      <w:r w:rsidR="005572C8">
        <w:rPr>
          <w:rFonts w:ascii="Times" w:hAnsi="Times"/>
        </w:rPr>
        <w:t xml:space="preserve"> </w:t>
      </w:r>
    </w:p>
    <w:p w14:paraId="0EF68195" w14:textId="77777777" w:rsidR="005572C8" w:rsidRDefault="005572C8" w:rsidP="00CF6ECC">
      <w:pPr>
        <w:rPr>
          <w:rFonts w:ascii="Times" w:hAnsi="Times"/>
        </w:rPr>
      </w:pPr>
      <w:r>
        <w:rPr>
          <w:rFonts w:ascii="Times" w:hAnsi="Times"/>
        </w:rPr>
        <w:t xml:space="preserve">    </w:t>
      </w:r>
      <w:proofErr w:type="gramStart"/>
      <w:r w:rsidR="003A4930">
        <w:rPr>
          <w:rFonts w:ascii="Times" w:hAnsi="Times"/>
        </w:rPr>
        <w:t>polymerase</w:t>
      </w:r>
      <w:proofErr w:type="gramEnd"/>
      <w:r w:rsidR="003A4930">
        <w:rPr>
          <w:rFonts w:ascii="Times" w:hAnsi="Times"/>
        </w:rPr>
        <w:t xml:space="preserve"> homemade in the </w:t>
      </w:r>
      <w:proofErr w:type="spellStart"/>
      <w:r>
        <w:rPr>
          <w:rFonts w:ascii="Times" w:hAnsi="Times"/>
        </w:rPr>
        <w:t>Sondek</w:t>
      </w:r>
      <w:proofErr w:type="spellEnd"/>
      <w:r>
        <w:rPr>
          <w:rFonts w:ascii="Times" w:hAnsi="Times"/>
        </w:rPr>
        <w:t xml:space="preserve"> lab.  If you are using a </w:t>
      </w:r>
      <w:r w:rsidR="003A4930">
        <w:rPr>
          <w:rFonts w:ascii="Times" w:hAnsi="Times"/>
        </w:rPr>
        <w:t xml:space="preserve">different polymerase, a </w:t>
      </w:r>
      <w:r>
        <w:rPr>
          <w:rFonts w:ascii="Times" w:hAnsi="Times"/>
        </w:rPr>
        <w:t xml:space="preserve">  </w:t>
      </w:r>
    </w:p>
    <w:p w14:paraId="4D0D6DCA" w14:textId="13CF0EEA" w:rsidR="005572C8" w:rsidRDefault="005572C8" w:rsidP="00CF6ECC">
      <w:pPr>
        <w:rPr>
          <w:rFonts w:ascii="Times" w:hAnsi="Times"/>
        </w:rPr>
      </w:pPr>
      <w:r>
        <w:rPr>
          <w:rFonts w:ascii="Times" w:hAnsi="Times"/>
        </w:rPr>
        <w:t xml:space="preserve">    </w:t>
      </w:r>
      <w:proofErr w:type="gramStart"/>
      <w:r w:rsidR="003A4930">
        <w:rPr>
          <w:rFonts w:ascii="Times" w:hAnsi="Times"/>
        </w:rPr>
        <w:t>unique</w:t>
      </w:r>
      <w:proofErr w:type="gramEnd"/>
      <w:r w:rsidR="003A4930">
        <w:rPr>
          <w:rFonts w:ascii="Times" w:hAnsi="Times"/>
        </w:rPr>
        <w:t xml:space="preserve"> primer pair, or have a</w:t>
      </w:r>
      <w:r>
        <w:rPr>
          <w:rFonts w:ascii="Times" w:hAnsi="Times"/>
        </w:rPr>
        <w:t>n</w:t>
      </w:r>
      <w:r w:rsidR="003A4930">
        <w:rPr>
          <w:rFonts w:ascii="Times" w:hAnsi="Times"/>
        </w:rPr>
        <w:t xml:space="preserve"> </w:t>
      </w:r>
      <w:r>
        <w:rPr>
          <w:rFonts w:ascii="Times" w:hAnsi="Times"/>
        </w:rPr>
        <w:t>insert that is larger than 4</w:t>
      </w:r>
      <w:r w:rsidR="000C1E85">
        <w:rPr>
          <w:rFonts w:ascii="Times" w:hAnsi="Times"/>
        </w:rPr>
        <w:t xml:space="preserve"> kb</w:t>
      </w:r>
      <w:r>
        <w:rPr>
          <w:rFonts w:ascii="Times" w:hAnsi="Times"/>
        </w:rPr>
        <w:t xml:space="preserve">, further optimization of the </w:t>
      </w:r>
    </w:p>
    <w:p w14:paraId="15247309" w14:textId="1ABFA5FC" w:rsidR="003A4930" w:rsidRDefault="005572C8" w:rsidP="00CF6ECC">
      <w:pPr>
        <w:rPr>
          <w:rFonts w:ascii="Times" w:hAnsi="Times"/>
        </w:rPr>
      </w:pPr>
      <w:r>
        <w:rPr>
          <w:rFonts w:ascii="Times" w:hAnsi="Times"/>
        </w:rPr>
        <w:t xml:space="preserve">    PCR</w:t>
      </w:r>
      <w:r w:rsidR="003A4930">
        <w:rPr>
          <w:rFonts w:ascii="Times" w:hAnsi="Times"/>
        </w:rPr>
        <w:t xml:space="preserve"> </w:t>
      </w:r>
      <w:r>
        <w:rPr>
          <w:rFonts w:ascii="Times" w:hAnsi="Times"/>
        </w:rPr>
        <w:t>conditions may be necessary.</w:t>
      </w:r>
      <w:r w:rsidR="003A4930">
        <w:rPr>
          <w:rFonts w:ascii="Times" w:hAnsi="Times"/>
        </w:rPr>
        <w:t xml:space="preserve">  </w:t>
      </w:r>
    </w:p>
    <w:p w14:paraId="325DDD7D" w14:textId="77777777" w:rsidR="00D01DFE" w:rsidRDefault="00D01DFE" w:rsidP="00B24F71">
      <w:pPr>
        <w:jc w:val="both"/>
        <w:rPr>
          <w:rFonts w:ascii="Times" w:hAnsi="Times"/>
        </w:rPr>
      </w:pPr>
    </w:p>
    <w:p w14:paraId="5606C73F" w14:textId="6EFDFE47" w:rsidR="003A4930" w:rsidRPr="003A4930" w:rsidRDefault="003A4930" w:rsidP="003A4930">
      <w:pPr>
        <w:pStyle w:val="ListParagraph"/>
        <w:numPr>
          <w:ilvl w:val="0"/>
          <w:numId w:val="3"/>
        </w:numPr>
        <w:jc w:val="both"/>
        <w:rPr>
          <w:rFonts w:ascii="Times" w:hAnsi="Times"/>
        </w:rPr>
      </w:pPr>
      <w:r>
        <w:rPr>
          <w:rFonts w:ascii="Times" w:hAnsi="Times"/>
        </w:rPr>
        <w:t xml:space="preserve">Analyze 5 – 10 </w:t>
      </w:r>
      <w:r w:rsidRPr="003A4930">
        <w:rPr>
          <w:rFonts w:ascii="Symbol" w:hAnsi="Symbol"/>
        </w:rPr>
        <w:t></w:t>
      </w:r>
      <w:r w:rsidR="005572C8">
        <w:rPr>
          <w:rFonts w:ascii="Times" w:hAnsi="Times"/>
        </w:rPr>
        <w:t>l of</w:t>
      </w:r>
      <w:r>
        <w:rPr>
          <w:rFonts w:ascii="Times" w:hAnsi="Times"/>
        </w:rPr>
        <w:t xml:space="preserve"> each reaction by </w:t>
      </w:r>
      <w:proofErr w:type="spellStart"/>
      <w:r>
        <w:rPr>
          <w:rFonts w:ascii="Times" w:hAnsi="Times"/>
        </w:rPr>
        <w:t>agarose</w:t>
      </w:r>
      <w:proofErr w:type="spellEnd"/>
      <w:r>
        <w:rPr>
          <w:rFonts w:ascii="Times" w:hAnsi="Times"/>
        </w:rPr>
        <w:t xml:space="preserve"> gel electrophoresis.</w:t>
      </w:r>
    </w:p>
    <w:sectPr w:rsidR="003A4930" w:rsidRPr="003A4930" w:rsidSect="00E9778A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3711E"/>
    <w:multiLevelType w:val="hybridMultilevel"/>
    <w:tmpl w:val="9ABC92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F240C61"/>
    <w:multiLevelType w:val="hybridMultilevel"/>
    <w:tmpl w:val="6B38BD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4FB3780"/>
    <w:multiLevelType w:val="hybridMultilevel"/>
    <w:tmpl w:val="C1A460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78A"/>
    <w:rsid w:val="000020D0"/>
    <w:rsid w:val="000C1E85"/>
    <w:rsid w:val="00161B9B"/>
    <w:rsid w:val="003A4930"/>
    <w:rsid w:val="003D3653"/>
    <w:rsid w:val="00481BCA"/>
    <w:rsid w:val="005572C8"/>
    <w:rsid w:val="00624A89"/>
    <w:rsid w:val="006534A3"/>
    <w:rsid w:val="006A59E9"/>
    <w:rsid w:val="006B05D5"/>
    <w:rsid w:val="00705EAF"/>
    <w:rsid w:val="0078506C"/>
    <w:rsid w:val="00926359"/>
    <w:rsid w:val="00985DD6"/>
    <w:rsid w:val="00996A92"/>
    <w:rsid w:val="009D1437"/>
    <w:rsid w:val="00B24F71"/>
    <w:rsid w:val="00B52315"/>
    <w:rsid w:val="00C0151D"/>
    <w:rsid w:val="00CB7DB5"/>
    <w:rsid w:val="00CF6ECC"/>
    <w:rsid w:val="00D01DFE"/>
    <w:rsid w:val="00D84D50"/>
    <w:rsid w:val="00DA491F"/>
    <w:rsid w:val="00E0754A"/>
    <w:rsid w:val="00E13C18"/>
    <w:rsid w:val="00E9778A"/>
    <w:rsid w:val="00EE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69D50B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ims">
    <w:name w:val="Aims"/>
    <w:basedOn w:val="Normal"/>
    <w:qFormat/>
    <w:rsid w:val="006B05D5"/>
    <w:pPr>
      <w:spacing w:before="120"/>
      <w:jc w:val="both"/>
    </w:pPr>
    <w:rPr>
      <w:rFonts w:ascii="Arial Bold" w:eastAsia="ヒラギノ角ゴ Pro W3" w:hAnsi="Arial Bold" w:cs="Times New Roman"/>
      <w:color w:val="000000"/>
      <w:sz w:val="22"/>
    </w:rPr>
  </w:style>
  <w:style w:type="paragraph" w:customStyle="1" w:styleId="Figureheading">
    <w:name w:val="Figure heading"/>
    <w:basedOn w:val="Normal"/>
    <w:qFormat/>
    <w:rsid w:val="006B05D5"/>
    <w:pPr>
      <w:jc w:val="both"/>
    </w:pPr>
    <w:rPr>
      <w:rFonts w:ascii="Arial" w:eastAsia="ヒラギノ角ゴ Pro W3" w:hAnsi="Arial" w:cs="Times New Roman"/>
      <w:b/>
      <w:color w:val="000000"/>
      <w:sz w:val="18"/>
    </w:rPr>
  </w:style>
  <w:style w:type="paragraph" w:customStyle="1" w:styleId="Figurelegend">
    <w:name w:val="Figure legend"/>
    <w:basedOn w:val="Figureheading"/>
    <w:qFormat/>
    <w:rsid w:val="006B05D5"/>
    <w:rPr>
      <w:b w:val="0"/>
    </w:rPr>
  </w:style>
  <w:style w:type="paragraph" w:styleId="BodyText">
    <w:name w:val="Body Text"/>
    <w:basedOn w:val="Normal"/>
    <w:link w:val="BodyTextChar"/>
    <w:uiPriority w:val="99"/>
    <w:semiHidden/>
    <w:unhideWhenUsed/>
    <w:rsid w:val="006B05D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B05D5"/>
  </w:style>
  <w:style w:type="paragraph" w:styleId="BodyTextFirstIndent">
    <w:name w:val="Body Text First Indent"/>
    <w:basedOn w:val="BodyText"/>
    <w:link w:val="BodyTextFirstIndentChar"/>
    <w:qFormat/>
    <w:rsid w:val="006B05D5"/>
    <w:pPr>
      <w:ind w:firstLine="210"/>
    </w:pPr>
    <w:rPr>
      <w:rFonts w:ascii="Arial" w:hAnsi="Arial"/>
      <w:spacing w:val="-2"/>
      <w:sz w:val="22"/>
    </w:rPr>
  </w:style>
  <w:style w:type="character" w:customStyle="1" w:styleId="BodyTextFirstIndentChar">
    <w:name w:val="Body Text First Indent Char"/>
    <w:basedOn w:val="BodyTextChar"/>
    <w:link w:val="BodyTextFirstIndent"/>
    <w:rsid w:val="006B05D5"/>
    <w:rPr>
      <w:rFonts w:ascii="Arial" w:hAnsi="Arial"/>
      <w:spacing w:val="-2"/>
      <w:sz w:val="22"/>
    </w:rPr>
  </w:style>
  <w:style w:type="paragraph" w:customStyle="1" w:styleId="subsection">
    <w:name w:val="subsection"/>
    <w:basedOn w:val="Normal"/>
    <w:autoRedefine/>
    <w:qFormat/>
    <w:rsid w:val="006B05D5"/>
    <w:pPr>
      <w:spacing w:before="120"/>
      <w:ind w:left="576" w:hanging="288"/>
      <w:jc w:val="both"/>
    </w:pPr>
    <w:rPr>
      <w:rFonts w:ascii="Arial" w:eastAsia="ヒラギノ角ゴ Pro W3" w:hAnsi="Arial" w:cs="Arial"/>
      <w:i/>
      <w:color w:val="000000"/>
      <w:sz w:val="22"/>
      <w:u w:val="single"/>
    </w:rPr>
  </w:style>
  <w:style w:type="paragraph" w:customStyle="1" w:styleId="Majorsection">
    <w:name w:val="Major section"/>
    <w:basedOn w:val="Normal"/>
    <w:autoRedefine/>
    <w:qFormat/>
    <w:rsid w:val="006B05D5"/>
    <w:pPr>
      <w:spacing w:before="240"/>
      <w:jc w:val="both"/>
    </w:pPr>
    <w:rPr>
      <w:rFonts w:ascii="Arial Bold" w:eastAsia="ヒラギノ角ゴ Pro W3" w:hAnsi="Arial Bold" w:cs="Times New Roman"/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9D1437"/>
    <w:pPr>
      <w:ind w:left="720"/>
      <w:contextualSpacing/>
    </w:pPr>
  </w:style>
  <w:style w:type="table" w:styleId="TableGrid">
    <w:name w:val="Table Grid"/>
    <w:basedOn w:val="TableNormal"/>
    <w:uiPriority w:val="59"/>
    <w:rsid w:val="00161B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ims">
    <w:name w:val="Aims"/>
    <w:basedOn w:val="Normal"/>
    <w:qFormat/>
    <w:rsid w:val="006B05D5"/>
    <w:pPr>
      <w:spacing w:before="120"/>
      <w:jc w:val="both"/>
    </w:pPr>
    <w:rPr>
      <w:rFonts w:ascii="Arial Bold" w:eastAsia="ヒラギノ角ゴ Pro W3" w:hAnsi="Arial Bold" w:cs="Times New Roman"/>
      <w:color w:val="000000"/>
      <w:sz w:val="22"/>
    </w:rPr>
  </w:style>
  <w:style w:type="paragraph" w:customStyle="1" w:styleId="Figureheading">
    <w:name w:val="Figure heading"/>
    <w:basedOn w:val="Normal"/>
    <w:qFormat/>
    <w:rsid w:val="006B05D5"/>
    <w:pPr>
      <w:jc w:val="both"/>
    </w:pPr>
    <w:rPr>
      <w:rFonts w:ascii="Arial" w:eastAsia="ヒラギノ角ゴ Pro W3" w:hAnsi="Arial" w:cs="Times New Roman"/>
      <w:b/>
      <w:color w:val="000000"/>
      <w:sz w:val="18"/>
    </w:rPr>
  </w:style>
  <w:style w:type="paragraph" w:customStyle="1" w:styleId="Figurelegend">
    <w:name w:val="Figure legend"/>
    <w:basedOn w:val="Figureheading"/>
    <w:qFormat/>
    <w:rsid w:val="006B05D5"/>
    <w:rPr>
      <w:b w:val="0"/>
    </w:rPr>
  </w:style>
  <w:style w:type="paragraph" w:styleId="BodyText">
    <w:name w:val="Body Text"/>
    <w:basedOn w:val="Normal"/>
    <w:link w:val="BodyTextChar"/>
    <w:uiPriority w:val="99"/>
    <w:semiHidden/>
    <w:unhideWhenUsed/>
    <w:rsid w:val="006B05D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B05D5"/>
  </w:style>
  <w:style w:type="paragraph" w:styleId="BodyTextFirstIndent">
    <w:name w:val="Body Text First Indent"/>
    <w:basedOn w:val="BodyText"/>
    <w:link w:val="BodyTextFirstIndentChar"/>
    <w:qFormat/>
    <w:rsid w:val="006B05D5"/>
    <w:pPr>
      <w:ind w:firstLine="210"/>
    </w:pPr>
    <w:rPr>
      <w:rFonts w:ascii="Arial" w:hAnsi="Arial"/>
      <w:spacing w:val="-2"/>
      <w:sz w:val="22"/>
    </w:rPr>
  </w:style>
  <w:style w:type="character" w:customStyle="1" w:styleId="BodyTextFirstIndentChar">
    <w:name w:val="Body Text First Indent Char"/>
    <w:basedOn w:val="BodyTextChar"/>
    <w:link w:val="BodyTextFirstIndent"/>
    <w:rsid w:val="006B05D5"/>
    <w:rPr>
      <w:rFonts w:ascii="Arial" w:hAnsi="Arial"/>
      <w:spacing w:val="-2"/>
      <w:sz w:val="22"/>
    </w:rPr>
  </w:style>
  <w:style w:type="paragraph" w:customStyle="1" w:styleId="subsection">
    <w:name w:val="subsection"/>
    <w:basedOn w:val="Normal"/>
    <w:autoRedefine/>
    <w:qFormat/>
    <w:rsid w:val="006B05D5"/>
    <w:pPr>
      <w:spacing w:before="120"/>
      <w:ind w:left="576" w:hanging="288"/>
      <w:jc w:val="both"/>
    </w:pPr>
    <w:rPr>
      <w:rFonts w:ascii="Arial" w:eastAsia="ヒラギノ角ゴ Pro W3" w:hAnsi="Arial" w:cs="Arial"/>
      <w:i/>
      <w:color w:val="000000"/>
      <w:sz w:val="22"/>
      <w:u w:val="single"/>
    </w:rPr>
  </w:style>
  <w:style w:type="paragraph" w:customStyle="1" w:styleId="Majorsection">
    <w:name w:val="Major section"/>
    <w:basedOn w:val="Normal"/>
    <w:autoRedefine/>
    <w:qFormat/>
    <w:rsid w:val="006B05D5"/>
    <w:pPr>
      <w:spacing w:before="240"/>
      <w:jc w:val="both"/>
    </w:pPr>
    <w:rPr>
      <w:rFonts w:ascii="Arial Bold" w:eastAsia="ヒラギノ角ゴ Pro W3" w:hAnsi="Arial Bold" w:cs="Times New Roman"/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9D1437"/>
    <w:pPr>
      <w:ind w:left="720"/>
      <w:contextualSpacing/>
    </w:pPr>
  </w:style>
  <w:style w:type="table" w:styleId="TableGrid">
    <w:name w:val="Table Grid"/>
    <w:basedOn w:val="TableNormal"/>
    <w:uiPriority w:val="59"/>
    <w:rsid w:val="00161B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889</Words>
  <Characters>5070</Characters>
  <Application>Microsoft Macintosh Word</Application>
  <DocSecurity>0</DocSecurity>
  <Lines>42</Lines>
  <Paragraphs>11</Paragraphs>
  <ScaleCrop>false</ScaleCrop>
  <Company/>
  <LinksUpToDate>false</LinksUpToDate>
  <CharactersWithSpaces>5948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Hajicek</dc:creator>
  <cp:keywords/>
  <dc:description/>
  <cp:lastModifiedBy>Nicole Hajicek</cp:lastModifiedBy>
  <cp:revision>2</cp:revision>
  <cp:lastPrinted>2014-09-04T15:43:00Z</cp:lastPrinted>
  <dcterms:created xsi:type="dcterms:W3CDTF">2015-08-20T17:41:00Z</dcterms:created>
  <dcterms:modified xsi:type="dcterms:W3CDTF">2015-08-20T17:41:00Z</dcterms:modified>
</cp:coreProperties>
</file>